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461" w:rsidRPr="00690E80" w:rsidRDefault="00DE44F3" w:rsidP="00DD00EE">
      <w:pPr>
        <w:pStyle w:val="NoSpacing"/>
        <w:ind w:right="-284"/>
        <w:jc w:val="center"/>
        <w:rPr>
          <w:rFonts w:ascii="Times New Roman" w:hAnsi="Times New Roman" w:cs="Times New Roman"/>
          <w:b/>
          <w:lang w:val="en-US"/>
        </w:rPr>
      </w:pPr>
      <w:r w:rsidRPr="00690E80">
        <w:rPr>
          <w:rFonts w:ascii="Times New Roman" w:hAnsi="Times New Roman" w:cs="Times New Roman"/>
          <w:b/>
        </w:rPr>
        <w:t>ТЕХНИЧЕСКА СПЕЦИФИКАЦИЯ</w:t>
      </w:r>
    </w:p>
    <w:p w:rsidR="00FF5C8C" w:rsidRPr="00690E80" w:rsidRDefault="00FF5C8C" w:rsidP="00DD00EE">
      <w:pPr>
        <w:pStyle w:val="NoSpacing"/>
        <w:ind w:right="-284"/>
        <w:jc w:val="center"/>
        <w:rPr>
          <w:rFonts w:ascii="Times New Roman" w:hAnsi="Times New Roman" w:cs="Times New Roman"/>
          <w:b/>
        </w:rPr>
      </w:pPr>
      <w:r w:rsidRPr="00690E80">
        <w:rPr>
          <w:rFonts w:ascii="Times New Roman" w:hAnsi="Times New Roman" w:cs="Times New Roman"/>
          <w:b/>
        </w:rPr>
        <w:t>за обществена поръчка с предмет</w:t>
      </w:r>
    </w:p>
    <w:p w:rsidR="008B3F69" w:rsidRPr="00690E80" w:rsidRDefault="008B3F69" w:rsidP="00DD00EE">
      <w:pPr>
        <w:pStyle w:val="NoSpacing"/>
        <w:ind w:right="-284"/>
        <w:jc w:val="center"/>
        <w:rPr>
          <w:rFonts w:ascii="Times New Roman" w:hAnsi="Times New Roman" w:cs="Times New Roman"/>
          <w:b/>
          <w:i/>
          <w:lang w:val="en-US"/>
        </w:rPr>
      </w:pPr>
      <w:r w:rsidRPr="00690E80">
        <w:rPr>
          <w:rFonts w:ascii="Times New Roman" w:hAnsi="Times New Roman" w:cs="Times New Roman"/>
          <w:b/>
          <w:bCs/>
          <w:i/>
        </w:rPr>
        <w:t>„</w:t>
      </w:r>
      <w:r w:rsidR="005D7025">
        <w:rPr>
          <w:b/>
        </w:rPr>
        <w:t>ДОСТАВКА НА НЕТНА ЕЛЕКТРИЧЕСКА ЕНЕРГИЯ   И ИЗБОР НА КООРДИНАТОР НА БАЛАНСИРАЩА ГРУПА ЗА НУЖДИТЕ НА УМБАЛ СВЕТА ЕКАТЕРИНА ЕАД, гр. СОФИЯ</w:t>
      </w:r>
      <w:r w:rsidRPr="00690E80">
        <w:rPr>
          <w:rFonts w:ascii="Times New Roman" w:hAnsi="Times New Roman" w:cs="Times New Roman"/>
          <w:b/>
          <w:i/>
        </w:rPr>
        <w:t>”</w:t>
      </w:r>
    </w:p>
    <w:p w:rsidR="00690E80" w:rsidRPr="00690E80" w:rsidRDefault="00690E80" w:rsidP="00DD00EE">
      <w:pPr>
        <w:pStyle w:val="NoSpacing"/>
        <w:ind w:right="-284"/>
        <w:jc w:val="both"/>
        <w:rPr>
          <w:rFonts w:ascii="Times New Roman" w:hAnsi="Times New Roman" w:cs="Times New Roman"/>
        </w:rPr>
      </w:pPr>
    </w:p>
    <w:p w:rsidR="00DE44F3" w:rsidRPr="00690E80" w:rsidRDefault="00DE44F3" w:rsidP="00690E80">
      <w:pPr>
        <w:pStyle w:val="NoSpacing"/>
        <w:ind w:right="-284" w:firstLine="708"/>
        <w:jc w:val="both"/>
        <w:rPr>
          <w:rFonts w:ascii="Times New Roman" w:hAnsi="Times New Roman" w:cs="Times New Roman"/>
        </w:rPr>
      </w:pPr>
      <w:r w:rsidRPr="00690E80">
        <w:rPr>
          <w:rFonts w:ascii="Times New Roman" w:hAnsi="Times New Roman" w:cs="Times New Roman"/>
        </w:rPr>
        <w:t>1. Обект на поръчката</w:t>
      </w:r>
    </w:p>
    <w:p w:rsidR="00DE44F3" w:rsidRPr="00690E80" w:rsidRDefault="00DE44F3" w:rsidP="00690E80">
      <w:pPr>
        <w:pStyle w:val="NoSpacing"/>
        <w:ind w:right="-284" w:firstLine="708"/>
        <w:jc w:val="both"/>
        <w:rPr>
          <w:rFonts w:ascii="Times New Roman" w:hAnsi="Times New Roman" w:cs="Times New Roman"/>
        </w:rPr>
      </w:pPr>
      <w:r w:rsidRPr="00690E80">
        <w:rPr>
          <w:rFonts w:ascii="Times New Roman" w:hAnsi="Times New Roman" w:cs="Times New Roman"/>
        </w:rPr>
        <w:t>Обект на обществената поръчка е доставка, осъществявана чрез</w:t>
      </w:r>
      <w:r w:rsidR="00690E80" w:rsidRPr="00690E80">
        <w:rPr>
          <w:rFonts w:ascii="Times New Roman" w:hAnsi="Times New Roman" w:cs="Times New Roman"/>
        </w:rPr>
        <w:t xml:space="preserve"> покупка съгласно чл. 3, ал.1, </w:t>
      </w:r>
      <w:r w:rsidRPr="00690E80">
        <w:rPr>
          <w:rFonts w:ascii="Times New Roman" w:hAnsi="Times New Roman" w:cs="Times New Roman"/>
        </w:rPr>
        <w:t>т. 2 от Закона за обществените поръчки (ЗОП).</w:t>
      </w:r>
    </w:p>
    <w:p w:rsidR="00DE44F3" w:rsidRPr="00690E80" w:rsidRDefault="00DE44F3" w:rsidP="00690E80">
      <w:pPr>
        <w:pStyle w:val="NoSpacing"/>
        <w:ind w:right="-284" w:firstLine="708"/>
        <w:jc w:val="both"/>
        <w:rPr>
          <w:rFonts w:ascii="Times New Roman" w:hAnsi="Times New Roman" w:cs="Times New Roman"/>
        </w:rPr>
      </w:pPr>
      <w:r w:rsidRPr="00690E80">
        <w:rPr>
          <w:rFonts w:ascii="Times New Roman" w:hAnsi="Times New Roman" w:cs="Times New Roman"/>
        </w:rPr>
        <w:t>2. Предмет на поръчката</w:t>
      </w:r>
    </w:p>
    <w:p w:rsidR="00DE44F3" w:rsidRPr="00690E80" w:rsidRDefault="00DE44F3" w:rsidP="00690E80">
      <w:pPr>
        <w:pStyle w:val="NoSpacing"/>
        <w:ind w:right="-284" w:firstLine="708"/>
        <w:jc w:val="both"/>
        <w:rPr>
          <w:rFonts w:ascii="Times New Roman" w:hAnsi="Times New Roman" w:cs="Times New Roman"/>
        </w:rPr>
      </w:pPr>
      <w:r w:rsidRPr="00690E80">
        <w:rPr>
          <w:rFonts w:ascii="Times New Roman" w:hAnsi="Times New Roman" w:cs="Times New Roman"/>
        </w:rPr>
        <w:t>Предметът на обществената поръчка е доставка на нетна активна електрическа енергия</w:t>
      </w:r>
      <w:r w:rsidR="00193D00" w:rsidRPr="00690E80">
        <w:rPr>
          <w:rFonts w:ascii="Times New Roman" w:hAnsi="Times New Roman" w:cs="Times New Roman"/>
        </w:rPr>
        <w:t xml:space="preserve"> </w:t>
      </w:r>
      <w:r w:rsidRPr="00690E80">
        <w:rPr>
          <w:rFonts w:ascii="Times New Roman" w:hAnsi="Times New Roman" w:cs="Times New Roman"/>
        </w:rPr>
        <w:t>и осъществяване задълженията на координатор на балансираща група.</w:t>
      </w:r>
    </w:p>
    <w:p w:rsidR="00DE44F3" w:rsidRPr="00690E80" w:rsidRDefault="00DE44F3" w:rsidP="00690E80">
      <w:pPr>
        <w:pStyle w:val="NoSpacing"/>
        <w:ind w:right="-284" w:firstLine="708"/>
        <w:jc w:val="both"/>
        <w:rPr>
          <w:rFonts w:ascii="Times New Roman" w:hAnsi="Times New Roman" w:cs="Times New Roman"/>
        </w:rPr>
      </w:pPr>
      <w:r w:rsidRPr="00690E80">
        <w:rPr>
          <w:rFonts w:ascii="Times New Roman" w:hAnsi="Times New Roman" w:cs="Times New Roman"/>
        </w:rPr>
        <w:t>3. Прогнозна стойност</w:t>
      </w:r>
    </w:p>
    <w:p w:rsidR="00DE44F3" w:rsidRPr="00690E80" w:rsidRDefault="00F55A46" w:rsidP="00690E80">
      <w:pPr>
        <w:pStyle w:val="NoSpacing"/>
        <w:ind w:right="-284" w:firstLine="708"/>
        <w:jc w:val="both"/>
        <w:rPr>
          <w:rFonts w:ascii="Times New Roman" w:hAnsi="Times New Roman" w:cs="Times New Roman"/>
        </w:rPr>
      </w:pPr>
      <w:r w:rsidRPr="00690E80">
        <w:rPr>
          <w:rFonts w:ascii="Times New Roman" w:hAnsi="Times New Roman" w:cs="Times New Roman"/>
        </w:rPr>
        <w:t>Прогнозната стойност на поръчката</w:t>
      </w:r>
      <w:r w:rsidR="00DE44F3" w:rsidRPr="00690E80">
        <w:rPr>
          <w:rFonts w:ascii="Times New Roman" w:hAnsi="Times New Roman" w:cs="Times New Roman"/>
        </w:rPr>
        <w:t xml:space="preserve"> е </w:t>
      </w:r>
      <w:r w:rsidR="00343392" w:rsidRPr="00690E80">
        <w:rPr>
          <w:rFonts w:ascii="Times New Roman" w:hAnsi="Times New Roman" w:cs="Times New Roman"/>
        </w:rPr>
        <w:t>18</w:t>
      </w:r>
      <w:r w:rsidR="000B418B" w:rsidRPr="00690E80">
        <w:rPr>
          <w:rFonts w:ascii="Times New Roman" w:hAnsi="Times New Roman" w:cs="Times New Roman"/>
          <w:lang w:val="en-US"/>
        </w:rPr>
        <w:t>0</w:t>
      </w:r>
      <w:r w:rsidR="00343392" w:rsidRPr="00690E80">
        <w:rPr>
          <w:rFonts w:ascii="Times New Roman" w:hAnsi="Times New Roman" w:cs="Times New Roman"/>
        </w:rPr>
        <w:t xml:space="preserve"> </w:t>
      </w:r>
      <w:r w:rsidR="000B418B" w:rsidRPr="00690E80">
        <w:rPr>
          <w:rFonts w:ascii="Times New Roman" w:hAnsi="Times New Roman" w:cs="Times New Roman"/>
          <w:lang w:val="en-US"/>
        </w:rPr>
        <w:t>000</w:t>
      </w:r>
      <w:r w:rsidR="00DE44F3" w:rsidRPr="00690E80">
        <w:rPr>
          <w:rFonts w:ascii="Times New Roman" w:hAnsi="Times New Roman" w:cs="Times New Roman"/>
        </w:rPr>
        <w:t xml:space="preserve"> лева без ДДС.</w:t>
      </w:r>
    </w:p>
    <w:p w:rsidR="008B3F69" w:rsidRPr="00690E80" w:rsidRDefault="008B3F69" w:rsidP="00690E80">
      <w:pPr>
        <w:pStyle w:val="NoSpacing"/>
        <w:ind w:right="-284" w:firstLine="708"/>
        <w:jc w:val="both"/>
        <w:rPr>
          <w:rFonts w:ascii="Times New Roman" w:hAnsi="Times New Roman" w:cs="Times New Roman"/>
        </w:rPr>
      </w:pPr>
      <w:r w:rsidRPr="00690E80">
        <w:rPr>
          <w:rFonts w:ascii="Times New Roman" w:hAnsi="Times New Roman" w:cs="Times New Roman"/>
        </w:rPr>
        <w:t>Посочената стойност на обществената поръчка е прогнозна, определена на база предходно потребление на Възложителя, коригирана с евентуални промени в количеството на доставената електрическа енергия, или стойността на регулаторно определените цени, които биха могли да настъпят за срока на договора.</w:t>
      </w:r>
      <w:r w:rsidR="00690E80" w:rsidRPr="00690E80">
        <w:rPr>
          <w:rFonts w:ascii="Times New Roman" w:hAnsi="Times New Roman" w:cs="Times New Roman"/>
        </w:rPr>
        <w:t xml:space="preserve"> </w:t>
      </w:r>
    </w:p>
    <w:p w:rsidR="00DE44F3" w:rsidRPr="00690E80" w:rsidRDefault="00DE44F3" w:rsidP="00690E80">
      <w:pPr>
        <w:pStyle w:val="NoSpacing"/>
        <w:ind w:right="-284" w:firstLine="708"/>
        <w:jc w:val="both"/>
        <w:rPr>
          <w:rFonts w:ascii="Times New Roman" w:hAnsi="Times New Roman" w:cs="Times New Roman"/>
          <w:lang w:val="en-US"/>
        </w:rPr>
      </w:pPr>
      <w:r w:rsidRPr="00690E80">
        <w:rPr>
          <w:rFonts w:ascii="Times New Roman" w:hAnsi="Times New Roman" w:cs="Times New Roman"/>
        </w:rPr>
        <w:t>4. Източник на финансиране</w:t>
      </w:r>
      <w:r w:rsidR="008B3F69" w:rsidRPr="00690E80">
        <w:rPr>
          <w:rFonts w:ascii="Times New Roman" w:hAnsi="Times New Roman" w:cs="Times New Roman"/>
          <w:lang w:val="en-US"/>
        </w:rPr>
        <w:t xml:space="preserve"> </w:t>
      </w:r>
    </w:p>
    <w:p w:rsidR="00DE44F3" w:rsidRPr="00690E80" w:rsidRDefault="00DE44F3" w:rsidP="00690E80">
      <w:pPr>
        <w:pStyle w:val="NoSpacing"/>
        <w:ind w:right="-284" w:firstLine="708"/>
        <w:jc w:val="both"/>
        <w:rPr>
          <w:rFonts w:ascii="Times New Roman" w:hAnsi="Times New Roman" w:cs="Times New Roman"/>
        </w:rPr>
      </w:pPr>
      <w:r w:rsidRPr="00690E80">
        <w:rPr>
          <w:rFonts w:ascii="Times New Roman" w:hAnsi="Times New Roman" w:cs="Times New Roman"/>
        </w:rPr>
        <w:t>Финансирането на обществената поръчка се осъществява чрез</w:t>
      </w:r>
      <w:r w:rsidRPr="00690E80">
        <w:rPr>
          <w:rFonts w:ascii="Times New Roman" w:hAnsi="Times New Roman" w:cs="Times New Roman"/>
          <w:i/>
        </w:rPr>
        <w:t xml:space="preserve"> бюджет</w:t>
      </w:r>
      <w:r w:rsidR="00FF0E08" w:rsidRPr="00690E80">
        <w:rPr>
          <w:rFonts w:ascii="Times New Roman" w:hAnsi="Times New Roman" w:cs="Times New Roman"/>
          <w:i/>
        </w:rPr>
        <w:t xml:space="preserve">а на </w:t>
      </w:r>
      <w:r w:rsidR="00343392" w:rsidRPr="00690E80">
        <w:rPr>
          <w:rFonts w:ascii="Times New Roman" w:hAnsi="Times New Roman" w:cs="Times New Roman"/>
          <w:b/>
          <w:i/>
          <w:lang w:val="en-US"/>
        </w:rPr>
        <w:t>УМБАЛ СВЕТА ЕКАТЕРИНА</w:t>
      </w:r>
      <w:r w:rsidRPr="00690E80">
        <w:rPr>
          <w:rFonts w:ascii="Times New Roman" w:hAnsi="Times New Roman" w:cs="Times New Roman"/>
          <w:i/>
        </w:rPr>
        <w:t>.</w:t>
      </w:r>
    </w:p>
    <w:p w:rsidR="00DE44F3" w:rsidRPr="00690E80" w:rsidRDefault="00DE44F3" w:rsidP="00690E80">
      <w:pPr>
        <w:pStyle w:val="NoSpacing"/>
        <w:ind w:right="-284" w:firstLine="708"/>
        <w:jc w:val="both"/>
        <w:rPr>
          <w:rFonts w:ascii="Times New Roman" w:hAnsi="Times New Roman" w:cs="Times New Roman"/>
        </w:rPr>
      </w:pPr>
      <w:r w:rsidRPr="00690E80">
        <w:rPr>
          <w:rFonts w:ascii="Times New Roman" w:hAnsi="Times New Roman" w:cs="Times New Roman"/>
        </w:rPr>
        <w:t>5. Общи изисквания към изпълнението</w:t>
      </w:r>
      <w:r w:rsidR="00343392" w:rsidRPr="00690E80">
        <w:rPr>
          <w:rFonts w:ascii="Times New Roman" w:hAnsi="Times New Roman" w:cs="Times New Roman"/>
        </w:rPr>
        <w:t xml:space="preserve"> </w:t>
      </w:r>
    </w:p>
    <w:p w:rsidR="00DE44F3" w:rsidRPr="00690E80" w:rsidRDefault="00DE44F3" w:rsidP="00690E80">
      <w:pPr>
        <w:pStyle w:val="NoSpacing"/>
        <w:ind w:right="-284" w:firstLine="708"/>
        <w:jc w:val="both"/>
        <w:rPr>
          <w:rFonts w:ascii="Times New Roman" w:hAnsi="Times New Roman" w:cs="Times New Roman"/>
        </w:rPr>
      </w:pPr>
      <w:r w:rsidRPr="00690E80">
        <w:rPr>
          <w:rFonts w:ascii="Times New Roman" w:hAnsi="Times New Roman" w:cs="Times New Roman"/>
        </w:rPr>
        <w:t>При доставката следва да се доставя електрическа енергия с качество и по ред, съгласно предвиденото в Закона за енергетиката (ЗЕ) и останалите нормативни актове, които уреждат обществените отношения, свързани с доставката на електрическа енергия (в т.ч. наредбите към ЗЕ, Правилата за търговия с електрическа енергия (ПТЕЕ) и Правилата за измерване на количеството електрическа енергия (ПИКЕЕ).</w:t>
      </w:r>
    </w:p>
    <w:p w:rsidR="00DE44F3" w:rsidRPr="00690E80" w:rsidRDefault="00DE44F3" w:rsidP="00690E80">
      <w:pPr>
        <w:pStyle w:val="NoSpacing"/>
        <w:ind w:right="-284" w:firstLine="708"/>
        <w:jc w:val="both"/>
        <w:rPr>
          <w:rFonts w:ascii="Times New Roman" w:hAnsi="Times New Roman" w:cs="Times New Roman"/>
        </w:rPr>
      </w:pPr>
      <w:r w:rsidRPr="00690E80">
        <w:rPr>
          <w:rFonts w:ascii="Times New Roman" w:hAnsi="Times New Roman" w:cs="Times New Roman"/>
        </w:rPr>
        <w:t>В качеството на „координатор на балансираща група“ изпълнителят следва да поеме отговорността за балансиране, да включи възложителя в пазара на балансираща енергия като участник (непряк член) в стандартна балансираща група, без възложителя да заплаща такса за участие, както и да осигури прогнозиране на потреблението на възложителя, включително администриране на часовите графици за потребление на възложителя.</w:t>
      </w:r>
    </w:p>
    <w:p w:rsidR="00DE44F3" w:rsidRPr="00690E80" w:rsidRDefault="00DE44F3" w:rsidP="00690E80">
      <w:pPr>
        <w:pStyle w:val="NoSpacing"/>
        <w:ind w:right="-284" w:firstLine="708"/>
        <w:jc w:val="both"/>
        <w:rPr>
          <w:rFonts w:ascii="Times New Roman" w:hAnsi="Times New Roman" w:cs="Times New Roman"/>
        </w:rPr>
      </w:pPr>
      <w:bookmarkStart w:id="0" w:name="page7"/>
      <w:bookmarkEnd w:id="0"/>
      <w:r w:rsidRPr="00690E80">
        <w:rPr>
          <w:rFonts w:ascii="Times New Roman" w:hAnsi="Times New Roman" w:cs="Times New Roman"/>
        </w:rPr>
        <w:t>6. Място и срок за изпълнение на поръчката</w:t>
      </w:r>
    </w:p>
    <w:p w:rsidR="00DE44F3" w:rsidRPr="00690E80" w:rsidRDefault="00690E80" w:rsidP="00DD00EE">
      <w:pPr>
        <w:tabs>
          <w:tab w:val="left" w:pos="0"/>
        </w:tabs>
        <w:spacing w:line="0" w:lineRule="atLeast"/>
        <w:ind w:right="-284"/>
        <w:jc w:val="both"/>
        <w:rPr>
          <w:rFonts w:ascii="Times New Roman" w:hAnsi="Times New Roman" w:cs="Times New Roman"/>
          <w:lang w:val="en-US"/>
        </w:rPr>
      </w:pPr>
      <w:r w:rsidRPr="00690E80">
        <w:rPr>
          <w:rFonts w:ascii="Times New Roman" w:hAnsi="Times New Roman" w:cs="Times New Roman"/>
        </w:rPr>
        <w:tab/>
      </w:r>
      <w:r w:rsidR="00DE44F3" w:rsidRPr="00690E80">
        <w:rPr>
          <w:rFonts w:ascii="Times New Roman" w:hAnsi="Times New Roman" w:cs="Times New Roman"/>
        </w:rPr>
        <w:t xml:space="preserve">Място за изпълнение на поръчката </w:t>
      </w:r>
      <w:r w:rsidR="00AE08B2" w:rsidRPr="00690E80">
        <w:rPr>
          <w:rFonts w:ascii="Times New Roman" w:hAnsi="Times New Roman" w:cs="Times New Roman"/>
        </w:rPr>
        <w:t xml:space="preserve">- </w:t>
      </w:r>
      <w:r w:rsidR="00DE44F3" w:rsidRPr="00690E80">
        <w:rPr>
          <w:rFonts w:ascii="Times New Roman" w:hAnsi="Times New Roman" w:cs="Times New Roman"/>
        </w:rPr>
        <w:t>Електроенергийната система на Република България</w:t>
      </w:r>
      <w:r w:rsidR="00063FCF" w:rsidRPr="00690E80">
        <w:rPr>
          <w:rFonts w:ascii="Times New Roman" w:hAnsi="Times New Roman" w:cs="Times New Roman"/>
          <w:lang w:val="en-US"/>
        </w:rPr>
        <w:t xml:space="preserve"> </w:t>
      </w:r>
      <w:r w:rsidR="00063FCF" w:rsidRPr="00690E80">
        <w:rPr>
          <w:rFonts w:ascii="Times New Roman" w:hAnsi="Times New Roman" w:cs="Times New Roman"/>
        </w:rPr>
        <w:t xml:space="preserve">на територията на </w:t>
      </w:r>
      <w:r w:rsidR="00343392" w:rsidRPr="00690E80">
        <w:rPr>
          <w:rFonts w:ascii="Times New Roman" w:hAnsi="Times New Roman" w:cs="Times New Roman"/>
          <w:b/>
          <w:i/>
          <w:lang w:val="en-US"/>
        </w:rPr>
        <w:t>УМБАЛ СВЕТА ЕКАТЕРИНА</w:t>
      </w:r>
      <w:r w:rsidR="00343392" w:rsidRPr="00690E80">
        <w:rPr>
          <w:rFonts w:ascii="Times New Roman" w:hAnsi="Times New Roman" w:cs="Times New Roman"/>
          <w:b/>
          <w:i/>
        </w:rPr>
        <w:t xml:space="preserve"> </w:t>
      </w:r>
      <w:r w:rsidR="00343392" w:rsidRPr="00690E80">
        <w:rPr>
          <w:rFonts w:ascii="Times New Roman" w:hAnsi="Times New Roman" w:cs="Times New Roman"/>
        </w:rPr>
        <w:t>–</w:t>
      </w:r>
      <w:r w:rsidR="00063FCF" w:rsidRPr="00690E80">
        <w:rPr>
          <w:rFonts w:ascii="Times New Roman" w:hAnsi="Times New Roman" w:cs="Times New Roman"/>
        </w:rPr>
        <w:t xml:space="preserve"> имот</w:t>
      </w:r>
      <w:r w:rsidR="00343392" w:rsidRPr="00690E80">
        <w:rPr>
          <w:rFonts w:ascii="Times New Roman" w:hAnsi="Times New Roman" w:cs="Times New Roman"/>
        </w:rPr>
        <w:t>, намиращ се в гр. София, бул. П</w:t>
      </w:r>
      <w:r w:rsidRPr="00690E80">
        <w:rPr>
          <w:rFonts w:ascii="Times New Roman" w:hAnsi="Times New Roman" w:cs="Times New Roman"/>
        </w:rPr>
        <w:t xml:space="preserve">. </w:t>
      </w:r>
      <w:r w:rsidR="00343392" w:rsidRPr="00690E80">
        <w:rPr>
          <w:rFonts w:ascii="Times New Roman" w:hAnsi="Times New Roman" w:cs="Times New Roman"/>
        </w:rPr>
        <w:t xml:space="preserve"> Славейков № 52А, </w:t>
      </w:r>
      <w:r w:rsidR="00063FCF" w:rsidRPr="00690E80">
        <w:rPr>
          <w:rFonts w:ascii="Times New Roman" w:hAnsi="Times New Roman" w:cs="Times New Roman"/>
        </w:rPr>
        <w:t>както и за допълнително присъединените такива, съобразно потребностите на Възложителя /в приложимите случаи/.</w:t>
      </w:r>
    </w:p>
    <w:p w:rsidR="00DE44F3" w:rsidRPr="00690E80" w:rsidRDefault="00DE44F3" w:rsidP="00690E80">
      <w:pPr>
        <w:pStyle w:val="NoSpacing"/>
        <w:ind w:right="-284" w:firstLine="708"/>
        <w:jc w:val="both"/>
        <w:rPr>
          <w:rFonts w:ascii="Times New Roman" w:hAnsi="Times New Roman" w:cs="Times New Roman"/>
          <w:lang w:val="en-US"/>
        </w:rPr>
      </w:pPr>
      <w:r w:rsidRPr="00690E80">
        <w:rPr>
          <w:rFonts w:ascii="Times New Roman" w:hAnsi="Times New Roman" w:cs="Times New Roman"/>
        </w:rPr>
        <w:t xml:space="preserve">Срок за изпълнение на обществената поръчка – </w:t>
      </w:r>
      <w:r w:rsidR="00A37FC3" w:rsidRPr="00690E80">
        <w:rPr>
          <w:rFonts w:ascii="Times New Roman" w:hAnsi="Times New Roman" w:cs="Times New Roman"/>
          <w:lang w:val="en-US"/>
        </w:rPr>
        <w:t>12</w:t>
      </w:r>
      <w:r w:rsidRPr="00690E80">
        <w:rPr>
          <w:rFonts w:ascii="Times New Roman" w:hAnsi="Times New Roman" w:cs="Times New Roman"/>
        </w:rPr>
        <w:t xml:space="preserve"> (</w:t>
      </w:r>
      <w:r w:rsidR="00A37FC3" w:rsidRPr="00690E80">
        <w:rPr>
          <w:rFonts w:ascii="Times New Roman" w:hAnsi="Times New Roman" w:cs="Times New Roman"/>
        </w:rPr>
        <w:t>дванадесет</w:t>
      </w:r>
      <w:r w:rsidRPr="00690E80">
        <w:rPr>
          <w:rFonts w:ascii="Times New Roman" w:hAnsi="Times New Roman" w:cs="Times New Roman"/>
        </w:rPr>
        <w:t xml:space="preserve">) месеца, считано от датата на </w:t>
      </w:r>
      <w:r w:rsidR="000F6F4C" w:rsidRPr="00690E80">
        <w:rPr>
          <w:rFonts w:ascii="Times New Roman" w:hAnsi="Times New Roman" w:cs="Times New Roman"/>
        </w:rPr>
        <w:t xml:space="preserve">потвърждаване </w:t>
      </w:r>
      <w:r w:rsidRPr="00690E80">
        <w:rPr>
          <w:rFonts w:ascii="Times New Roman" w:hAnsi="Times New Roman" w:cs="Times New Roman"/>
        </w:rPr>
        <w:t>регистрация на първия регистриран трафик</w:t>
      </w:r>
      <w:r w:rsidR="00A44E08" w:rsidRPr="00690E80">
        <w:rPr>
          <w:rFonts w:ascii="Times New Roman" w:hAnsi="Times New Roman" w:cs="Times New Roman"/>
        </w:rPr>
        <w:t>.</w:t>
      </w:r>
    </w:p>
    <w:p w:rsidR="00DE44F3" w:rsidRPr="00690E80" w:rsidRDefault="00DE44F3" w:rsidP="00690E80">
      <w:pPr>
        <w:pStyle w:val="NoSpacing"/>
        <w:ind w:right="-284" w:firstLine="708"/>
        <w:jc w:val="both"/>
        <w:rPr>
          <w:rFonts w:ascii="Times New Roman" w:hAnsi="Times New Roman" w:cs="Times New Roman"/>
          <w:lang w:val="en-US"/>
        </w:rPr>
      </w:pPr>
      <w:r w:rsidRPr="00690E80">
        <w:rPr>
          <w:rFonts w:ascii="Times New Roman" w:hAnsi="Times New Roman" w:cs="Times New Roman"/>
        </w:rPr>
        <w:t xml:space="preserve">7. </w:t>
      </w:r>
      <w:r w:rsidR="008D3112" w:rsidRPr="00690E80">
        <w:rPr>
          <w:rFonts w:ascii="Times New Roman" w:hAnsi="Times New Roman" w:cs="Times New Roman"/>
        </w:rPr>
        <w:t xml:space="preserve">Срок на договора. </w:t>
      </w:r>
      <w:r w:rsidRPr="00690E80">
        <w:rPr>
          <w:rFonts w:ascii="Times New Roman" w:hAnsi="Times New Roman" w:cs="Times New Roman"/>
        </w:rPr>
        <w:t>Прогнозно количество</w:t>
      </w:r>
      <w:r w:rsidR="008D3112" w:rsidRPr="00690E80">
        <w:rPr>
          <w:rFonts w:ascii="Times New Roman" w:hAnsi="Times New Roman" w:cs="Times New Roman"/>
          <w:lang w:val="en-US"/>
        </w:rPr>
        <w:t>.</w:t>
      </w:r>
    </w:p>
    <w:p w:rsidR="008D3112" w:rsidRPr="00690E80" w:rsidRDefault="008D3112" w:rsidP="00DD00EE">
      <w:pPr>
        <w:tabs>
          <w:tab w:val="left" w:pos="0"/>
        </w:tabs>
        <w:spacing w:line="0" w:lineRule="atLeast"/>
        <w:ind w:right="-284" w:firstLine="709"/>
        <w:jc w:val="both"/>
        <w:rPr>
          <w:rFonts w:ascii="Times New Roman" w:hAnsi="Times New Roman" w:cs="Times New Roman"/>
        </w:rPr>
      </w:pPr>
      <w:r w:rsidRPr="00690E80">
        <w:rPr>
          <w:rFonts w:ascii="Times New Roman" w:hAnsi="Times New Roman" w:cs="Times New Roman"/>
        </w:rPr>
        <w:t xml:space="preserve">Срок на договора – </w:t>
      </w:r>
      <w:r w:rsidR="000B418B" w:rsidRPr="00690E80">
        <w:rPr>
          <w:rFonts w:ascii="Times New Roman" w:hAnsi="Times New Roman" w:cs="Times New Roman"/>
          <w:lang w:val="en-US"/>
        </w:rPr>
        <w:t>12</w:t>
      </w:r>
      <w:r w:rsidRPr="00690E80">
        <w:rPr>
          <w:rFonts w:ascii="Times New Roman" w:hAnsi="Times New Roman" w:cs="Times New Roman"/>
        </w:rPr>
        <w:t xml:space="preserve"> месеца, считано от датата на потвърждаване регистрация на първия график.</w:t>
      </w:r>
    </w:p>
    <w:p w:rsidR="00F76186" w:rsidRPr="00690E80" w:rsidRDefault="00DE44F3" w:rsidP="00690E80">
      <w:pPr>
        <w:pStyle w:val="NoSpacing"/>
        <w:ind w:right="-284" w:firstLine="708"/>
        <w:jc w:val="both"/>
        <w:rPr>
          <w:rFonts w:ascii="Times New Roman" w:hAnsi="Times New Roman" w:cs="Times New Roman"/>
        </w:rPr>
      </w:pPr>
      <w:r w:rsidRPr="00690E80">
        <w:rPr>
          <w:rFonts w:ascii="Times New Roman" w:hAnsi="Times New Roman" w:cs="Times New Roman"/>
        </w:rPr>
        <w:t>Общото прогнозно количество за доставка на нетна активна електрическа</w:t>
      </w:r>
      <w:r w:rsidR="00193D00" w:rsidRPr="00690E80">
        <w:rPr>
          <w:rFonts w:ascii="Times New Roman" w:hAnsi="Times New Roman" w:cs="Times New Roman"/>
        </w:rPr>
        <w:t xml:space="preserve"> енергия за срока на договора е </w:t>
      </w:r>
      <w:r w:rsidR="00343392" w:rsidRPr="00690E80">
        <w:rPr>
          <w:rFonts w:ascii="Times New Roman" w:hAnsi="Times New Roman" w:cs="Times New Roman"/>
          <w:lang w:val="en-US"/>
        </w:rPr>
        <w:t>1</w:t>
      </w:r>
      <w:r w:rsidR="00343392" w:rsidRPr="00690E80">
        <w:rPr>
          <w:rFonts w:ascii="Times New Roman" w:hAnsi="Times New Roman" w:cs="Times New Roman"/>
        </w:rPr>
        <w:t>25</w:t>
      </w:r>
      <w:r w:rsidR="001A0C1D" w:rsidRPr="00690E80">
        <w:rPr>
          <w:rFonts w:ascii="Times New Roman" w:hAnsi="Times New Roman" w:cs="Times New Roman"/>
        </w:rPr>
        <w:t>0</w:t>
      </w:r>
      <w:r w:rsidR="00F76186" w:rsidRPr="00690E80">
        <w:rPr>
          <w:rFonts w:ascii="Times New Roman" w:hAnsi="Times New Roman" w:cs="Times New Roman"/>
        </w:rPr>
        <w:t xml:space="preserve"> </w:t>
      </w:r>
      <w:r w:rsidR="009F3869" w:rsidRPr="00690E80">
        <w:rPr>
          <w:rFonts w:ascii="Times New Roman" w:hAnsi="Times New Roman" w:cs="Times New Roman"/>
        </w:rPr>
        <w:t>MWh</w:t>
      </w:r>
      <w:r w:rsidR="00F55A46" w:rsidRPr="00690E80">
        <w:rPr>
          <w:rFonts w:ascii="Times New Roman" w:hAnsi="Times New Roman" w:cs="Times New Roman"/>
        </w:rPr>
        <w:t>.</w:t>
      </w:r>
    </w:p>
    <w:p w:rsidR="00DE44F3" w:rsidRPr="00690E80" w:rsidRDefault="00D047FA" w:rsidP="00DD00EE">
      <w:pPr>
        <w:pStyle w:val="NoSpacing"/>
        <w:ind w:right="-284" w:firstLine="708"/>
        <w:jc w:val="both"/>
        <w:rPr>
          <w:rFonts w:ascii="Times New Roman" w:hAnsi="Times New Roman" w:cs="Times New Roman"/>
        </w:rPr>
      </w:pPr>
      <w:r w:rsidRPr="00690E80">
        <w:rPr>
          <w:rFonts w:ascii="Times New Roman" w:eastAsia="Times New Roman" w:hAnsi="Times New Roman" w:cs="Times New Roman"/>
        </w:rPr>
        <w:t>За срока на договора Възложителят си запазва правото на промяна в прогнозното количество в положителна или отрицателна посока според възникналата необходимост, като изпълнителят се задължава да достави нужното количество електроенергия за денонощие, за месец и за целия период на договора.</w:t>
      </w:r>
    </w:p>
    <w:p w:rsidR="00DE44F3" w:rsidRPr="00690E80" w:rsidRDefault="00DE44F3" w:rsidP="00690E80">
      <w:pPr>
        <w:pStyle w:val="NoSpacing"/>
        <w:ind w:right="-284" w:firstLine="708"/>
        <w:jc w:val="both"/>
        <w:rPr>
          <w:rFonts w:ascii="Times New Roman" w:hAnsi="Times New Roman" w:cs="Times New Roman"/>
        </w:rPr>
      </w:pPr>
      <w:r w:rsidRPr="00690E80">
        <w:rPr>
          <w:rFonts w:ascii="Times New Roman" w:hAnsi="Times New Roman" w:cs="Times New Roman"/>
        </w:rPr>
        <w:t xml:space="preserve">8. </w:t>
      </w:r>
      <w:r w:rsidR="00FF5C8C" w:rsidRPr="00690E80">
        <w:rPr>
          <w:rFonts w:ascii="Times New Roman" w:hAnsi="Times New Roman" w:cs="Times New Roman"/>
        </w:rPr>
        <w:t>Ц</w:t>
      </w:r>
      <w:r w:rsidRPr="00690E80">
        <w:rPr>
          <w:rFonts w:ascii="Times New Roman" w:hAnsi="Times New Roman" w:cs="Times New Roman"/>
        </w:rPr>
        <w:t>ен</w:t>
      </w:r>
      <w:r w:rsidR="00FF5C8C" w:rsidRPr="00690E80">
        <w:rPr>
          <w:rFonts w:ascii="Times New Roman" w:hAnsi="Times New Roman" w:cs="Times New Roman"/>
        </w:rPr>
        <w:t>а. Начин на плащане</w:t>
      </w:r>
      <w:r w:rsidR="00690E80" w:rsidRPr="00690E80">
        <w:rPr>
          <w:rFonts w:ascii="Times New Roman" w:hAnsi="Times New Roman" w:cs="Times New Roman"/>
        </w:rPr>
        <w:t xml:space="preserve"> </w:t>
      </w:r>
    </w:p>
    <w:p w:rsidR="00FF5C8C" w:rsidRPr="00690E80" w:rsidRDefault="00FF5C8C" w:rsidP="00690E80">
      <w:pPr>
        <w:pStyle w:val="NoSpacing"/>
        <w:ind w:right="-284" w:firstLine="708"/>
        <w:jc w:val="both"/>
        <w:rPr>
          <w:rFonts w:ascii="Times New Roman" w:hAnsi="Times New Roman" w:cs="Times New Roman"/>
          <w:u w:val="single"/>
        </w:rPr>
      </w:pPr>
      <w:r w:rsidRPr="00690E80">
        <w:rPr>
          <w:rFonts w:ascii="Times New Roman" w:hAnsi="Times New Roman" w:cs="Times New Roman"/>
          <w:u w:val="single"/>
        </w:rPr>
        <w:t xml:space="preserve">8.1. Цена </w:t>
      </w:r>
    </w:p>
    <w:p w:rsidR="00DE44F3" w:rsidRPr="00690E80" w:rsidRDefault="00DE44F3" w:rsidP="00DD00EE">
      <w:pPr>
        <w:pStyle w:val="NoSpacing"/>
        <w:ind w:right="-284" w:firstLine="708"/>
        <w:jc w:val="both"/>
        <w:rPr>
          <w:rFonts w:ascii="Times New Roman" w:hAnsi="Times New Roman" w:cs="Times New Roman"/>
        </w:rPr>
      </w:pPr>
      <w:r w:rsidRPr="00690E80">
        <w:rPr>
          <w:rFonts w:ascii="Times New Roman" w:hAnsi="Times New Roman" w:cs="Times New Roman"/>
        </w:rPr>
        <w:t>Доставката на нетна активна електрическа енергия се извършва при свободно договорени цени съгласно чл. 100 – 103 от ЗЕ.</w:t>
      </w:r>
    </w:p>
    <w:p w:rsidR="005C5A93" w:rsidRPr="00690E80" w:rsidRDefault="005C5A93" w:rsidP="00DD00EE">
      <w:pPr>
        <w:ind w:right="-284" w:firstLine="708"/>
        <w:jc w:val="both"/>
        <w:rPr>
          <w:rFonts w:ascii="Times New Roman" w:hAnsi="Times New Roman" w:cs="Times New Roman"/>
        </w:rPr>
      </w:pPr>
      <w:r w:rsidRPr="00690E80">
        <w:rPr>
          <w:rFonts w:ascii="Times New Roman" w:hAnsi="Times New Roman" w:cs="Times New Roman"/>
        </w:rPr>
        <w:t>При подготовка на ценовото предложение, участникът следва да се съобрази със следните изисквания:</w:t>
      </w:r>
    </w:p>
    <w:p w:rsidR="000545A2" w:rsidRDefault="000545A2" w:rsidP="00DD00EE">
      <w:pPr>
        <w:pStyle w:val="NoSpacing"/>
        <w:ind w:right="-284" w:firstLine="708"/>
        <w:jc w:val="both"/>
        <w:rPr>
          <w:rFonts w:ascii="Times New Roman" w:hAnsi="Times New Roman" w:cs="Times New Roman"/>
        </w:rPr>
      </w:pPr>
    </w:p>
    <w:p w:rsidR="00C60F22" w:rsidRPr="00690E80" w:rsidRDefault="00B6513B" w:rsidP="00DD00EE">
      <w:pPr>
        <w:pStyle w:val="NoSpacing"/>
        <w:ind w:right="-284" w:firstLine="708"/>
        <w:jc w:val="both"/>
        <w:rPr>
          <w:rFonts w:ascii="Times New Roman" w:hAnsi="Times New Roman" w:cs="Times New Roman"/>
        </w:rPr>
      </w:pPr>
      <w:r w:rsidRPr="00690E80">
        <w:rPr>
          <w:rFonts w:ascii="Times New Roman" w:hAnsi="Times New Roman" w:cs="Times New Roman"/>
        </w:rPr>
        <w:t xml:space="preserve">Договорът се сключва </w:t>
      </w:r>
      <w:r w:rsidR="00495261" w:rsidRPr="00690E80">
        <w:rPr>
          <w:rFonts w:ascii="Times New Roman" w:hAnsi="Times New Roman" w:cs="Times New Roman"/>
        </w:rPr>
        <w:t>на</w:t>
      </w:r>
      <w:r w:rsidRPr="00690E80">
        <w:rPr>
          <w:rFonts w:ascii="Times New Roman" w:hAnsi="Times New Roman" w:cs="Times New Roman"/>
        </w:rPr>
        <w:t xml:space="preserve"> прогнозната стойност на поръчката</w:t>
      </w:r>
      <w:r w:rsidR="00C60F22" w:rsidRPr="00690E80">
        <w:rPr>
          <w:rFonts w:ascii="Times New Roman" w:hAnsi="Times New Roman" w:cs="Times New Roman"/>
        </w:rPr>
        <w:t>, тъй като стойността му не може да бъде предварително определена, поради възможни промени в количеството на доставената електрическа енергия и/или стойността на регулаторно определените цени, които биха могли да настъпят за срока на договора.</w:t>
      </w:r>
    </w:p>
    <w:p w:rsidR="00806959" w:rsidRPr="00690E80" w:rsidRDefault="00B6513B" w:rsidP="00DD00EE">
      <w:pPr>
        <w:pStyle w:val="NoSpacing"/>
        <w:ind w:right="-284" w:firstLine="708"/>
        <w:jc w:val="both"/>
        <w:rPr>
          <w:rFonts w:ascii="Times New Roman" w:hAnsi="Times New Roman" w:cs="Times New Roman"/>
        </w:rPr>
      </w:pPr>
      <w:r w:rsidRPr="00690E80">
        <w:rPr>
          <w:rFonts w:ascii="Times New Roman" w:hAnsi="Times New Roman" w:cs="Times New Roman"/>
        </w:rPr>
        <w:t xml:space="preserve"> </w:t>
      </w:r>
      <w:r w:rsidR="00806959" w:rsidRPr="00690E80">
        <w:rPr>
          <w:rFonts w:ascii="Times New Roman" w:hAnsi="Times New Roman" w:cs="Times New Roman"/>
        </w:rPr>
        <w:t>В прогнозната стойност са включени всички плащания за доставка на нетна електрическа енергия за обект</w:t>
      </w:r>
      <w:r w:rsidR="00DC0A9B">
        <w:rPr>
          <w:rFonts w:ascii="Times New Roman" w:hAnsi="Times New Roman" w:cs="Times New Roman"/>
        </w:rPr>
        <w:t>а</w:t>
      </w:r>
      <w:r w:rsidR="00806959" w:rsidRPr="00690E80">
        <w:rPr>
          <w:rFonts w:ascii="Times New Roman" w:hAnsi="Times New Roman" w:cs="Times New Roman"/>
        </w:rPr>
        <w:t xml:space="preserve">, включен </w:t>
      </w:r>
      <w:r w:rsidR="00225B90" w:rsidRPr="00690E80">
        <w:rPr>
          <w:rFonts w:ascii="Times New Roman" w:hAnsi="Times New Roman" w:cs="Times New Roman"/>
        </w:rPr>
        <w:t>в поръчката, акциз по чл. 20,</w:t>
      </w:r>
      <w:r w:rsidR="007F7199" w:rsidRPr="00690E80">
        <w:rPr>
          <w:rFonts w:ascii="Times New Roman" w:hAnsi="Times New Roman" w:cs="Times New Roman"/>
        </w:rPr>
        <w:t xml:space="preserve"> </w:t>
      </w:r>
      <w:r w:rsidR="00806959" w:rsidRPr="00690E80">
        <w:rPr>
          <w:rFonts w:ascii="Times New Roman" w:hAnsi="Times New Roman" w:cs="Times New Roman"/>
        </w:rPr>
        <w:t>ал. 2, т. 17 от Закона за акцизите и данъчните складове (ЗАДС)</w:t>
      </w:r>
      <w:r w:rsidR="00806959" w:rsidRPr="00690E80">
        <w:rPr>
          <w:rFonts w:ascii="Times New Roman" w:hAnsi="Times New Roman" w:cs="Times New Roman"/>
          <w:lang w:val="en-US"/>
        </w:rPr>
        <w:t>,</w:t>
      </w:r>
      <w:r w:rsidR="00806959" w:rsidRPr="00690E80">
        <w:rPr>
          <w:rFonts w:ascii="Times New Roman" w:hAnsi="Times New Roman" w:cs="Times New Roman"/>
        </w:rPr>
        <w:t xml:space="preserve"> определената с решения на КЕВР (ДЕКВР) такса (цена) „задължение към обществото“.</w:t>
      </w:r>
    </w:p>
    <w:p w:rsidR="00806959" w:rsidRPr="00690E80" w:rsidRDefault="00806959" w:rsidP="00DD00EE">
      <w:pPr>
        <w:pStyle w:val="NoSpacing"/>
        <w:ind w:right="-284" w:firstLine="708"/>
        <w:jc w:val="both"/>
        <w:rPr>
          <w:rFonts w:ascii="Times New Roman" w:hAnsi="Times New Roman" w:cs="Times New Roman"/>
        </w:rPr>
      </w:pPr>
      <w:r w:rsidRPr="00690E80">
        <w:rPr>
          <w:rFonts w:ascii="Times New Roman" w:hAnsi="Times New Roman" w:cs="Times New Roman"/>
        </w:rPr>
        <w:t xml:space="preserve">Прогнозната стойност на договора има ориентировъчен характер и не обвързва Възложителя. </w:t>
      </w:r>
    </w:p>
    <w:p w:rsidR="00B6513B" w:rsidRPr="00690E80" w:rsidRDefault="00B6513B" w:rsidP="00DD00EE">
      <w:pPr>
        <w:pStyle w:val="NoSpacing"/>
        <w:ind w:right="-284" w:firstLine="708"/>
        <w:jc w:val="both"/>
        <w:rPr>
          <w:rFonts w:ascii="Times New Roman" w:hAnsi="Times New Roman" w:cs="Times New Roman"/>
        </w:rPr>
      </w:pPr>
      <w:r w:rsidRPr="00690E80">
        <w:rPr>
          <w:rFonts w:ascii="Times New Roman" w:hAnsi="Times New Roman" w:cs="Times New Roman"/>
        </w:rPr>
        <w:t xml:space="preserve">Обвързваща за Възложителя е единствено </w:t>
      </w:r>
      <w:r w:rsidR="00DE44F3" w:rsidRPr="00690E80">
        <w:rPr>
          <w:rFonts w:ascii="Times New Roman" w:hAnsi="Times New Roman" w:cs="Times New Roman"/>
        </w:rPr>
        <w:t>стойност</w:t>
      </w:r>
      <w:r w:rsidRPr="00690E80">
        <w:rPr>
          <w:rFonts w:ascii="Times New Roman" w:hAnsi="Times New Roman" w:cs="Times New Roman"/>
        </w:rPr>
        <w:t>та,</w:t>
      </w:r>
      <w:r w:rsidR="00DE44F3" w:rsidRPr="00690E80">
        <w:rPr>
          <w:rFonts w:ascii="Times New Roman" w:hAnsi="Times New Roman" w:cs="Times New Roman"/>
        </w:rPr>
        <w:t xml:space="preserve"> </w:t>
      </w:r>
      <w:r w:rsidRPr="00690E80">
        <w:rPr>
          <w:rFonts w:ascii="Times New Roman" w:hAnsi="Times New Roman" w:cs="Times New Roman"/>
        </w:rPr>
        <w:t xml:space="preserve">изчислена на база </w:t>
      </w:r>
      <w:r w:rsidR="00F76186" w:rsidRPr="00690E80">
        <w:rPr>
          <w:rFonts w:ascii="Times New Roman" w:hAnsi="Times New Roman" w:cs="Times New Roman"/>
        </w:rPr>
        <w:t>действително изразходваната активна електрическа енергия за целия срок на договора.</w:t>
      </w:r>
    </w:p>
    <w:p w:rsidR="00DE44F3" w:rsidRPr="00690E80" w:rsidRDefault="00B6513B" w:rsidP="00DD00EE">
      <w:pPr>
        <w:pStyle w:val="NoSpacing"/>
        <w:ind w:right="-284"/>
        <w:jc w:val="both"/>
        <w:rPr>
          <w:rFonts w:ascii="Times New Roman" w:hAnsi="Times New Roman" w:cs="Times New Roman"/>
        </w:rPr>
      </w:pPr>
      <w:r w:rsidRPr="00690E80">
        <w:rPr>
          <w:rFonts w:ascii="Times New Roman" w:hAnsi="Times New Roman" w:cs="Times New Roman"/>
        </w:rPr>
        <w:t xml:space="preserve"> </w:t>
      </w:r>
      <w:r w:rsidR="00F76186" w:rsidRPr="00690E80">
        <w:rPr>
          <w:rFonts w:ascii="Times New Roman" w:hAnsi="Times New Roman" w:cs="Times New Roman"/>
        </w:rPr>
        <w:tab/>
      </w:r>
      <w:r w:rsidR="00DE44F3" w:rsidRPr="00690E80">
        <w:rPr>
          <w:rFonts w:ascii="Times New Roman" w:hAnsi="Times New Roman" w:cs="Times New Roman"/>
          <w:b/>
        </w:rPr>
        <w:t xml:space="preserve">Цената за един </w:t>
      </w:r>
      <w:r w:rsidR="009F3869" w:rsidRPr="00690E80">
        <w:rPr>
          <w:rFonts w:ascii="Times New Roman" w:hAnsi="Times New Roman" w:cs="Times New Roman"/>
        </w:rPr>
        <w:t>MWh</w:t>
      </w:r>
      <w:r w:rsidR="00DE44F3" w:rsidRPr="00690E80">
        <w:rPr>
          <w:rFonts w:ascii="Times New Roman" w:hAnsi="Times New Roman" w:cs="Times New Roman"/>
          <w:b/>
        </w:rPr>
        <w:t xml:space="preserve"> нетна активна електрическа енергия е крайна и включва</w:t>
      </w:r>
      <w:r w:rsidR="00ED1D1E" w:rsidRPr="00690E80">
        <w:rPr>
          <w:rFonts w:ascii="Times New Roman" w:hAnsi="Times New Roman" w:cs="Times New Roman"/>
        </w:rPr>
        <w:t>:</w:t>
      </w:r>
      <w:r w:rsidR="00DE44F3" w:rsidRPr="00690E80">
        <w:rPr>
          <w:rFonts w:ascii="Times New Roman" w:hAnsi="Times New Roman" w:cs="Times New Roman"/>
        </w:rPr>
        <w:t xml:space="preserve"> цената на нетна активна електрическа енергия, цената на доставката на електрическата енергия и други разходи, свързани с доставката на електрическата енергия, разходите за балансиране, разходите за прогнозиране на потреблението, разходи по изготвяне и администриране на прогнозни графици (на дневните почасови </w:t>
      </w:r>
      <w:r w:rsidR="00DE44F3" w:rsidRPr="00690E80">
        <w:rPr>
          <w:rFonts w:ascii="Times New Roman" w:hAnsi="Times New Roman" w:cs="Times New Roman"/>
        </w:rPr>
        <w:lastRenderedPageBreak/>
        <w:t>товарови графици), такса за участие в балансиращата група и всички разходи свързани с изпълнението на поръчката, без в балансиращата група допълнително да се начисляват суми за небалансите - излишък и недостиг.</w:t>
      </w:r>
    </w:p>
    <w:p w:rsidR="00B6513B" w:rsidRPr="00690E80" w:rsidRDefault="00B6513B" w:rsidP="00DD00EE">
      <w:pPr>
        <w:pStyle w:val="NoSpacing"/>
        <w:ind w:right="-284"/>
        <w:jc w:val="both"/>
        <w:rPr>
          <w:rFonts w:ascii="Times New Roman" w:hAnsi="Times New Roman" w:cs="Times New Roman"/>
        </w:rPr>
      </w:pPr>
      <w:r w:rsidRPr="00690E80">
        <w:rPr>
          <w:rFonts w:ascii="Times New Roman" w:hAnsi="Times New Roman" w:cs="Times New Roman"/>
        </w:rPr>
        <w:tab/>
        <w:t>Офериран</w:t>
      </w:r>
      <w:r w:rsidR="00F55A46" w:rsidRPr="00690E80">
        <w:rPr>
          <w:rFonts w:ascii="Times New Roman" w:hAnsi="Times New Roman" w:cs="Times New Roman"/>
        </w:rPr>
        <w:t>ите</w:t>
      </w:r>
      <w:r w:rsidRPr="00690E80">
        <w:rPr>
          <w:rFonts w:ascii="Times New Roman" w:hAnsi="Times New Roman" w:cs="Times New Roman"/>
        </w:rPr>
        <w:t xml:space="preserve"> единичн</w:t>
      </w:r>
      <w:r w:rsidR="00F55A46" w:rsidRPr="00690E80">
        <w:rPr>
          <w:rFonts w:ascii="Times New Roman" w:hAnsi="Times New Roman" w:cs="Times New Roman"/>
        </w:rPr>
        <w:t>и</w:t>
      </w:r>
      <w:r w:rsidRPr="00690E80">
        <w:rPr>
          <w:rFonts w:ascii="Times New Roman" w:hAnsi="Times New Roman" w:cs="Times New Roman"/>
        </w:rPr>
        <w:t xml:space="preserve"> цен</w:t>
      </w:r>
      <w:r w:rsidR="00F55A46" w:rsidRPr="00690E80">
        <w:rPr>
          <w:rFonts w:ascii="Times New Roman" w:hAnsi="Times New Roman" w:cs="Times New Roman"/>
        </w:rPr>
        <w:t>и</w:t>
      </w:r>
      <w:r w:rsidRPr="00690E80">
        <w:rPr>
          <w:rFonts w:ascii="Times New Roman" w:hAnsi="Times New Roman" w:cs="Times New Roman"/>
        </w:rPr>
        <w:t xml:space="preserve"> за един </w:t>
      </w:r>
      <w:r w:rsidR="009F3869" w:rsidRPr="00690E80">
        <w:rPr>
          <w:rFonts w:ascii="Times New Roman" w:hAnsi="Times New Roman" w:cs="Times New Roman"/>
        </w:rPr>
        <w:t>MWh</w:t>
      </w:r>
      <w:r w:rsidRPr="00690E80">
        <w:rPr>
          <w:rFonts w:ascii="Times New Roman" w:hAnsi="Times New Roman" w:cs="Times New Roman"/>
        </w:rPr>
        <w:t xml:space="preserve"> нетна активна електрическа енергия </w:t>
      </w:r>
      <w:r w:rsidR="00F55A46" w:rsidRPr="00690E80">
        <w:rPr>
          <w:rFonts w:ascii="Times New Roman" w:hAnsi="Times New Roman" w:cs="Times New Roman"/>
        </w:rPr>
        <w:t xml:space="preserve"> </w:t>
      </w:r>
      <w:r w:rsidRPr="00690E80">
        <w:rPr>
          <w:rFonts w:ascii="Times New Roman" w:hAnsi="Times New Roman" w:cs="Times New Roman"/>
        </w:rPr>
        <w:t>се запазва</w:t>
      </w:r>
      <w:r w:rsidR="00F55A46" w:rsidRPr="00690E80">
        <w:rPr>
          <w:rFonts w:ascii="Times New Roman" w:hAnsi="Times New Roman" w:cs="Times New Roman"/>
        </w:rPr>
        <w:t>т</w:t>
      </w:r>
      <w:r w:rsidRPr="00690E80">
        <w:rPr>
          <w:rFonts w:ascii="Times New Roman" w:hAnsi="Times New Roman" w:cs="Times New Roman"/>
        </w:rPr>
        <w:t xml:space="preserve"> за срока на действие на договора.</w:t>
      </w:r>
      <w:r w:rsidR="00F76186" w:rsidRPr="00690E80">
        <w:rPr>
          <w:rFonts w:ascii="Times New Roman" w:hAnsi="Times New Roman" w:cs="Times New Roman"/>
        </w:rPr>
        <w:t xml:space="preserve"> </w:t>
      </w:r>
      <w:r w:rsidRPr="00690E80">
        <w:rPr>
          <w:rFonts w:ascii="Times New Roman" w:hAnsi="Times New Roman" w:cs="Times New Roman"/>
        </w:rPr>
        <w:t xml:space="preserve"> </w:t>
      </w:r>
    </w:p>
    <w:p w:rsidR="00DE44F3" w:rsidRPr="00690E80" w:rsidRDefault="00495470" w:rsidP="00DD00EE">
      <w:pPr>
        <w:pStyle w:val="NoSpacing"/>
        <w:ind w:right="-284" w:firstLine="708"/>
        <w:jc w:val="both"/>
        <w:rPr>
          <w:rFonts w:ascii="Times New Roman" w:hAnsi="Times New Roman" w:cs="Times New Roman"/>
        </w:rPr>
      </w:pPr>
      <w:r w:rsidRPr="00690E80">
        <w:rPr>
          <w:rFonts w:ascii="Times New Roman" w:hAnsi="Times New Roman" w:cs="Times New Roman"/>
          <w:b/>
        </w:rPr>
        <w:t xml:space="preserve">Цената за един </w:t>
      </w:r>
      <w:r w:rsidR="009F3869" w:rsidRPr="00690E80">
        <w:rPr>
          <w:rFonts w:ascii="Times New Roman" w:hAnsi="Times New Roman" w:cs="Times New Roman"/>
        </w:rPr>
        <w:t>MWh</w:t>
      </w:r>
      <w:r w:rsidRPr="00690E80">
        <w:rPr>
          <w:rFonts w:ascii="Times New Roman" w:hAnsi="Times New Roman" w:cs="Times New Roman"/>
          <w:b/>
        </w:rPr>
        <w:t xml:space="preserve"> нетна активна електрическа енергия </w:t>
      </w:r>
      <w:r w:rsidR="00DE44F3" w:rsidRPr="00690E80">
        <w:rPr>
          <w:rFonts w:ascii="Times New Roman" w:hAnsi="Times New Roman" w:cs="Times New Roman"/>
          <w:b/>
        </w:rPr>
        <w:t>не включва</w:t>
      </w:r>
      <w:r w:rsidRPr="00690E80">
        <w:rPr>
          <w:rFonts w:ascii="Times New Roman" w:hAnsi="Times New Roman" w:cs="Times New Roman"/>
          <w:b/>
        </w:rPr>
        <w:t>:</w:t>
      </w:r>
      <w:r w:rsidR="00DE44F3" w:rsidRPr="00690E80">
        <w:rPr>
          <w:rFonts w:ascii="Times New Roman" w:hAnsi="Times New Roman" w:cs="Times New Roman"/>
        </w:rPr>
        <w:t xml:space="preserve"> регулаторно определените цени за пренос и достъп през/до електроразпределителните мрежи, за „задължения към обществото”, други регулируеми от КЕВР цени и акциз.</w:t>
      </w:r>
    </w:p>
    <w:p w:rsidR="00DE44F3" w:rsidRPr="00690E80" w:rsidRDefault="00DE44F3" w:rsidP="00DD00EE">
      <w:pPr>
        <w:pStyle w:val="NoSpacing"/>
        <w:ind w:right="-284"/>
        <w:jc w:val="both"/>
        <w:rPr>
          <w:rFonts w:ascii="Times New Roman" w:hAnsi="Times New Roman" w:cs="Times New Roman"/>
        </w:rPr>
      </w:pPr>
    </w:p>
    <w:p w:rsidR="00DE44F3" w:rsidRPr="00690E80" w:rsidRDefault="00FF5C8C" w:rsidP="00690E80">
      <w:pPr>
        <w:pStyle w:val="NoSpacing"/>
        <w:ind w:right="-284" w:firstLine="708"/>
        <w:jc w:val="both"/>
        <w:rPr>
          <w:rFonts w:ascii="Times New Roman" w:hAnsi="Times New Roman" w:cs="Times New Roman"/>
          <w:u w:val="single"/>
        </w:rPr>
      </w:pPr>
      <w:r w:rsidRPr="00690E80">
        <w:rPr>
          <w:rFonts w:ascii="Times New Roman" w:hAnsi="Times New Roman" w:cs="Times New Roman"/>
          <w:u w:val="single"/>
        </w:rPr>
        <w:t xml:space="preserve">8.2. </w:t>
      </w:r>
      <w:r w:rsidR="00DE44F3" w:rsidRPr="00690E80">
        <w:rPr>
          <w:rFonts w:ascii="Times New Roman" w:hAnsi="Times New Roman" w:cs="Times New Roman"/>
          <w:u w:val="single"/>
        </w:rPr>
        <w:t>Начин на плащане</w:t>
      </w:r>
      <w:r w:rsidR="00F76186" w:rsidRPr="00690E80">
        <w:rPr>
          <w:rFonts w:ascii="Times New Roman" w:hAnsi="Times New Roman" w:cs="Times New Roman"/>
          <w:u w:val="single"/>
        </w:rPr>
        <w:t xml:space="preserve"> </w:t>
      </w:r>
    </w:p>
    <w:p w:rsidR="008B7D63" w:rsidRPr="00690E80" w:rsidRDefault="00DE44F3" w:rsidP="00DD00EE">
      <w:pPr>
        <w:pStyle w:val="NoSpacing"/>
        <w:ind w:right="-284" w:firstLine="708"/>
        <w:jc w:val="both"/>
        <w:rPr>
          <w:rFonts w:ascii="Times New Roman" w:hAnsi="Times New Roman" w:cs="Times New Roman"/>
        </w:rPr>
      </w:pPr>
      <w:r w:rsidRPr="00690E80">
        <w:rPr>
          <w:rFonts w:ascii="Times New Roman" w:hAnsi="Times New Roman" w:cs="Times New Roman"/>
        </w:rPr>
        <w:t>Изпълнителят ежемесечно издава единн</w:t>
      </w:r>
      <w:r w:rsidR="00223387" w:rsidRPr="00690E80">
        <w:rPr>
          <w:rFonts w:ascii="Times New Roman" w:hAnsi="Times New Roman" w:cs="Times New Roman"/>
        </w:rPr>
        <w:t>и</w:t>
      </w:r>
      <w:r w:rsidRPr="00690E80">
        <w:rPr>
          <w:rFonts w:ascii="Times New Roman" w:hAnsi="Times New Roman" w:cs="Times New Roman"/>
        </w:rPr>
        <w:t xml:space="preserve"> фактур</w:t>
      </w:r>
      <w:r w:rsidR="00223387" w:rsidRPr="00690E80">
        <w:rPr>
          <w:rFonts w:ascii="Times New Roman" w:hAnsi="Times New Roman" w:cs="Times New Roman"/>
        </w:rPr>
        <w:t xml:space="preserve">и за всеки един </w:t>
      </w:r>
      <w:r w:rsidR="00A65BEC" w:rsidRPr="00690E80">
        <w:rPr>
          <w:rFonts w:ascii="Times New Roman" w:hAnsi="Times New Roman" w:cs="Times New Roman"/>
        </w:rPr>
        <w:t xml:space="preserve">обект/ </w:t>
      </w:r>
      <w:r w:rsidR="00223387" w:rsidRPr="00690E80">
        <w:rPr>
          <w:rFonts w:ascii="Times New Roman" w:hAnsi="Times New Roman" w:cs="Times New Roman"/>
        </w:rPr>
        <w:t>клиентски номер на възложителя, включен в приложението към Техническите спецификации</w:t>
      </w:r>
      <w:r w:rsidR="00AB7335" w:rsidRPr="00690E80">
        <w:rPr>
          <w:rFonts w:ascii="Times New Roman" w:hAnsi="Times New Roman" w:cs="Times New Roman"/>
        </w:rPr>
        <w:t xml:space="preserve"> /както и за допълнително присъединените такива/</w:t>
      </w:r>
      <w:r w:rsidRPr="00690E80">
        <w:rPr>
          <w:rFonts w:ascii="Times New Roman" w:hAnsi="Times New Roman" w:cs="Times New Roman"/>
        </w:rPr>
        <w:t>, включваща</w:t>
      </w:r>
      <w:r w:rsidR="008B7D63" w:rsidRPr="00690E80">
        <w:rPr>
          <w:rFonts w:ascii="Times New Roman" w:hAnsi="Times New Roman" w:cs="Times New Roman"/>
        </w:rPr>
        <w:t>:</w:t>
      </w:r>
      <w:r w:rsidRPr="00690E80">
        <w:rPr>
          <w:rFonts w:ascii="Times New Roman" w:hAnsi="Times New Roman" w:cs="Times New Roman"/>
        </w:rPr>
        <w:t xml:space="preserve"> </w:t>
      </w:r>
    </w:p>
    <w:p w:rsidR="008B7D63" w:rsidRPr="00690E80" w:rsidRDefault="008B7D63" w:rsidP="00DD00EE">
      <w:pPr>
        <w:pStyle w:val="NoSpacing"/>
        <w:ind w:right="-284"/>
        <w:jc w:val="both"/>
        <w:rPr>
          <w:rFonts w:ascii="Times New Roman" w:hAnsi="Times New Roman" w:cs="Times New Roman"/>
        </w:rPr>
      </w:pPr>
      <w:r w:rsidRPr="00690E80">
        <w:rPr>
          <w:rFonts w:ascii="Times New Roman" w:hAnsi="Times New Roman" w:cs="Times New Roman"/>
        </w:rPr>
        <w:t xml:space="preserve">- </w:t>
      </w:r>
      <w:r w:rsidR="00DE44F3" w:rsidRPr="00690E80">
        <w:rPr>
          <w:rFonts w:ascii="Times New Roman" w:hAnsi="Times New Roman" w:cs="Times New Roman"/>
        </w:rPr>
        <w:t xml:space="preserve">консумираната активна електрическа енергия за определения месец, отчетена по измервателния уред на съответната измервателна точка, по определената в договора единична цена за един </w:t>
      </w:r>
      <w:r w:rsidR="009F3869" w:rsidRPr="00690E80">
        <w:rPr>
          <w:rFonts w:ascii="Times New Roman" w:hAnsi="Times New Roman" w:cs="Times New Roman"/>
        </w:rPr>
        <w:t>MWh</w:t>
      </w:r>
      <w:r w:rsidR="00042068" w:rsidRPr="00690E80">
        <w:rPr>
          <w:rFonts w:ascii="Times New Roman" w:hAnsi="Times New Roman" w:cs="Times New Roman"/>
        </w:rPr>
        <w:t>, съгласно ценовата оферта</w:t>
      </w:r>
      <w:r w:rsidR="00DE44F3" w:rsidRPr="00690E80">
        <w:rPr>
          <w:rFonts w:ascii="Times New Roman" w:hAnsi="Times New Roman" w:cs="Times New Roman"/>
        </w:rPr>
        <w:t xml:space="preserve">, </w:t>
      </w:r>
    </w:p>
    <w:p w:rsidR="00223387" w:rsidRPr="00690E80" w:rsidRDefault="008B7D63" w:rsidP="00DD00EE">
      <w:pPr>
        <w:pStyle w:val="NoSpacing"/>
        <w:ind w:right="-284"/>
        <w:jc w:val="both"/>
        <w:rPr>
          <w:rFonts w:ascii="Times New Roman" w:hAnsi="Times New Roman" w:cs="Times New Roman"/>
          <w:lang w:val="en-US"/>
        </w:rPr>
      </w:pPr>
      <w:r w:rsidRPr="00690E80">
        <w:rPr>
          <w:rFonts w:ascii="Times New Roman" w:hAnsi="Times New Roman" w:cs="Times New Roman"/>
        </w:rPr>
        <w:t xml:space="preserve">- </w:t>
      </w:r>
      <w:r w:rsidR="00DE44F3" w:rsidRPr="00690E80">
        <w:rPr>
          <w:rFonts w:ascii="Times New Roman" w:hAnsi="Times New Roman" w:cs="Times New Roman"/>
        </w:rPr>
        <w:t>акциз по чл. 20 ал. 2 т. 17 от ЗАДС</w:t>
      </w:r>
      <w:r w:rsidR="00042068" w:rsidRPr="00690E80">
        <w:rPr>
          <w:rFonts w:ascii="Times New Roman" w:hAnsi="Times New Roman" w:cs="Times New Roman"/>
          <w:lang w:val="en-US"/>
        </w:rPr>
        <w:t xml:space="preserve"> </w:t>
      </w:r>
    </w:p>
    <w:p w:rsidR="008B7D63" w:rsidRPr="00690E80" w:rsidRDefault="00223387" w:rsidP="00DD00EE">
      <w:pPr>
        <w:pStyle w:val="NoSpacing"/>
        <w:ind w:right="-284"/>
        <w:jc w:val="both"/>
        <w:rPr>
          <w:rFonts w:ascii="Times New Roman" w:hAnsi="Times New Roman" w:cs="Times New Roman"/>
        </w:rPr>
      </w:pPr>
      <w:r w:rsidRPr="00690E80">
        <w:rPr>
          <w:rFonts w:ascii="Times New Roman" w:hAnsi="Times New Roman" w:cs="Times New Roman"/>
        </w:rPr>
        <w:t xml:space="preserve">- </w:t>
      </w:r>
      <w:r w:rsidR="00DE44F3" w:rsidRPr="00690E80">
        <w:rPr>
          <w:rFonts w:ascii="Times New Roman" w:hAnsi="Times New Roman" w:cs="Times New Roman"/>
        </w:rPr>
        <w:t xml:space="preserve">определената с решения на КЕВР такса (цена) „задължения към обществото", </w:t>
      </w:r>
    </w:p>
    <w:p w:rsidR="00DE44F3" w:rsidRPr="00690E80" w:rsidRDefault="008B7D63" w:rsidP="00DD00EE">
      <w:pPr>
        <w:pStyle w:val="NoSpacing"/>
        <w:ind w:right="-284"/>
        <w:jc w:val="both"/>
        <w:rPr>
          <w:rFonts w:ascii="Times New Roman" w:hAnsi="Times New Roman" w:cs="Times New Roman"/>
        </w:rPr>
      </w:pPr>
      <w:r w:rsidRPr="00690E80">
        <w:rPr>
          <w:rFonts w:ascii="Times New Roman" w:hAnsi="Times New Roman" w:cs="Times New Roman"/>
        </w:rPr>
        <w:t xml:space="preserve">- </w:t>
      </w:r>
      <w:r w:rsidR="00DE44F3" w:rsidRPr="00690E80">
        <w:rPr>
          <w:rFonts w:ascii="Times New Roman" w:hAnsi="Times New Roman" w:cs="Times New Roman"/>
        </w:rPr>
        <w:t xml:space="preserve">всички мрежови услуги с подробна разбивка съгласно </w:t>
      </w:r>
      <w:r w:rsidR="00DE44F3" w:rsidRPr="00690E80">
        <w:rPr>
          <w:rFonts w:ascii="Times New Roman" w:hAnsi="Times New Roman" w:cs="Times New Roman"/>
          <w:color w:val="FF0000"/>
        </w:rPr>
        <w:t xml:space="preserve">чл. 20 </w:t>
      </w:r>
      <w:r w:rsidR="00DE44F3" w:rsidRPr="00690E80">
        <w:rPr>
          <w:rFonts w:ascii="Times New Roman" w:hAnsi="Times New Roman" w:cs="Times New Roman"/>
        </w:rPr>
        <w:t>от ПТЕЕ.</w:t>
      </w:r>
    </w:p>
    <w:p w:rsidR="00A65BEC" w:rsidRPr="00690E80" w:rsidRDefault="00A65BEC" w:rsidP="00DD00EE">
      <w:pPr>
        <w:pStyle w:val="NoSpacing"/>
        <w:ind w:right="-284" w:firstLine="708"/>
        <w:jc w:val="both"/>
        <w:rPr>
          <w:rFonts w:ascii="Times New Roman" w:eastAsia="Times New Roman" w:hAnsi="Times New Roman" w:cs="Times New Roman"/>
          <w:i/>
        </w:rPr>
      </w:pPr>
      <w:r w:rsidRPr="00690E80">
        <w:rPr>
          <w:rFonts w:ascii="Times New Roman" w:eastAsia="Times New Roman" w:hAnsi="Times New Roman" w:cs="Times New Roman"/>
          <w:i/>
        </w:rPr>
        <w:t>При фактуриране цена за „задължения към обществото” определена от КЕВР, акциз и ДДС , цена за достъп и пренос се фактурират на отделни редове.</w:t>
      </w:r>
    </w:p>
    <w:p w:rsidR="00DE44F3" w:rsidRPr="00690E80" w:rsidRDefault="00FD4BF9" w:rsidP="00DD00EE">
      <w:pPr>
        <w:pStyle w:val="NoSpacing"/>
        <w:ind w:right="-284" w:firstLine="708"/>
        <w:jc w:val="both"/>
        <w:rPr>
          <w:rFonts w:ascii="Times New Roman" w:hAnsi="Times New Roman" w:cs="Times New Roman"/>
        </w:rPr>
      </w:pPr>
      <w:r w:rsidRPr="00690E80">
        <w:rPr>
          <w:rFonts w:ascii="Times New Roman" w:hAnsi="Times New Roman" w:cs="Times New Roman"/>
        </w:rPr>
        <w:t xml:space="preserve">Дължимите суми се </w:t>
      </w:r>
      <w:r w:rsidR="00DE44F3" w:rsidRPr="00690E80">
        <w:rPr>
          <w:rFonts w:ascii="Times New Roman" w:hAnsi="Times New Roman" w:cs="Times New Roman"/>
        </w:rPr>
        <w:t>заплаща</w:t>
      </w:r>
      <w:r w:rsidRPr="00690E80">
        <w:rPr>
          <w:rFonts w:ascii="Times New Roman" w:hAnsi="Times New Roman" w:cs="Times New Roman"/>
        </w:rPr>
        <w:t>т</w:t>
      </w:r>
      <w:r w:rsidR="00DE44F3" w:rsidRPr="00690E80">
        <w:rPr>
          <w:rFonts w:ascii="Times New Roman" w:hAnsi="Times New Roman" w:cs="Times New Roman"/>
        </w:rPr>
        <w:t xml:space="preserve"> на изпълнителя по банков път в срок до </w:t>
      </w:r>
      <w:r w:rsidR="008805BD" w:rsidRPr="00690E80">
        <w:rPr>
          <w:rFonts w:ascii="Times New Roman" w:hAnsi="Times New Roman" w:cs="Times New Roman"/>
          <w:lang w:val="en-US"/>
        </w:rPr>
        <w:t>3</w:t>
      </w:r>
      <w:r w:rsidR="00DE44F3" w:rsidRPr="00690E80">
        <w:rPr>
          <w:rFonts w:ascii="Times New Roman" w:hAnsi="Times New Roman" w:cs="Times New Roman"/>
        </w:rPr>
        <w:t>0 дни след получаване на фактур</w:t>
      </w:r>
      <w:r w:rsidR="00223387" w:rsidRPr="00690E80">
        <w:rPr>
          <w:rFonts w:ascii="Times New Roman" w:hAnsi="Times New Roman" w:cs="Times New Roman"/>
        </w:rPr>
        <w:t>ите</w:t>
      </w:r>
      <w:r w:rsidR="00DE44F3" w:rsidRPr="00690E80">
        <w:rPr>
          <w:rFonts w:ascii="Times New Roman" w:hAnsi="Times New Roman" w:cs="Times New Roman"/>
        </w:rPr>
        <w:t>.</w:t>
      </w:r>
    </w:p>
    <w:p w:rsidR="00DE44F3" w:rsidRPr="00690E80" w:rsidRDefault="00DE44F3" w:rsidP="00DD00EE">
      <w:pPr>
        <w:pStyle w:val="NoSpacing"/>
        <w:ind w:right="-284"/>
        <w:jc w:val="both"/>
        <w:rPr>
          <w:rFonts w:ascii="Times New Roman" w:hAnsi="Times New Roman" w:cs="Times New Roman"/>
        </w:rPr>
      </w:pPr>
    </w:p>
    <w:p w:rsidR="00DE44F3" w:rsidRPr="00690E80" w:rsidRDefault="00B6513B" w:rsidP="00690E80">
      <w:pPr>
        <w:pStyle w:val="NoSpacing"/>
        <w:ind w:right="-284" w:firstLine="708"/>
        <w:jc w:val="both"/>
        <w:rPr>
          <w:rFonts w:ascii="Times New Roman" w:hAnsi="Times New Roman" w:cs="Times New Roman"/>
        </w:rPr>
      </w:pPr>
      <w:bookmarkStart w:id="1" w:name="page8"/>
      <w:bookmarkEnd w:id="1"/>
      <w:r w:rsidRPr="00690E80">
        <w:rPr>
          <w:rFonts w:ascii="Times New Roman" w:hAnsi="Times New Roman" w:cs="Times New Roman"/>
        </w:rPr>
        <w:t>9</w:t>
      </w:r>
      <w:r w:rsidR="00DE44F3" w:rsidRPr="00690E80">
        <w:rPr>
          <w:rFonts w:ascii="Times New Roman" w:hAnsi="Times New Roman" w:cs="Times New Roman"/>
        </w:rPr>
        <w:t>. Техническа спецификация</w:t>
      </w:r>
      <w:r w:rsidR="00690E80" w:rsidRPr="00690E80">
        <w:rPr>
          <w:rFonts w:ascii="Times New Roman" w:hAnsi="Times New Roman" w:cs="Times New Roman"/>
        </w:rPr>
        <w:t xml:space="preserve"> </w:t>
      </w:r>
    </w:p>
    <w:p w:rsidR="00DE44F3" w:rsidRPr="00690E80" w:rsidRDefault="00DE44F3" w:rsidP="00343392">
      <w:pPr>
        <w:pStyle w:val="NoSpacing"/>
        <w:ind w:right="-284"/>
        <w:jc w:val="both"/>
        <w:rPr>
          <w:rFonts w:ascii="Times New Roman" w:hAnsi="Times New Roman" w:cs="Times New Roman"/>
        </w:rPr>
      </w:pPr>
      <w:r w:rsidRPr="00690E80">
        <w:rPr>
          <w:rFonts w:ascii="Times New Roman" w:hAnsi="Times New Roman" w:cs="Times New Roman"/>
        </w:rPr>
        <w:t xml:space="preserve">Процедурата се провежда с цел избор на доставчик на нетна електрическа енергия, координатор на стандартна балансираща група, пълно администриране на информационния поток с ЕСО ЕАД, както и поемане на разходите за небаланси за </w:t>
      </w:r>
      <w:r w:rsidR="00343392" w:rsidRPr="00690E80">
        <w:rPr>
          <w:rFonts w:ascii="Times New Roman" w:hAnsi="Times New Roman" w:cs="Times New Roman"/>
        </w:rPr>
        <w:t>обект</w:t>
      </w:r>
      <w:r w:rsidR="00DC0A9B">
        <w:rPr>
          <w:rFonts w:ascii="Times New Roman" w:hAnsi="Times New Roman" w:cs="Times New Roman"/>
        </w:rPr>
        <w:t>а</w:t>
      </w:r>
      <w:r w:rsidR="006D38A1" w:rsidRPr="00690E80">
        <w:rPr>
          <w:rFonts w:ascii="Times New Roman" w:hAnsi="Times New Roman" w:cs="Times New Roman"/>
        </w:rPr>
        <w:t xml:space="preserve"> </w:t>
      </w:r>
      <w:r w:rsidR="00DC0A9B">
        <w:rPr>
          <w:rFonts w:ascii="Times New Roman" w:hAnsi="Times New Roman" w:cs="Times New Roman"/>
        </w:rPr>
        <w:t>в поръчката – сградата на УМБАЛ СВЕТА ЕКАТЕРИНА</w:t>
      </w:r>
      <w:r w:rsidR="00193D00" w:rsidRPr="00690E80">
        <w:rPr>
          <w:rFonts w:ascii="Times New Roman" w:hAnsi="Times New Roman" w:cs="Times New Roman"/>
        </w:rPr>
        <w:t>,</w:t>
      </w:r>
      <w:r w:rsidR="006D38A1" w:rsidRPr="00690E80">
        <w:rPr>
          <w:rFonts w:ascii="Times New Roman" w:hAnsi="Times New Roman" w:cs="Times New Roman"/>
        </w:rPr>
        <w:t xml:space="preserve"> </w:t>
      </w:r>
    </w:p>
    <w:p w:rsidR="00343392" w:rsidRPr="00690E80" w:rsidRDefault="00343392" w:rsidP="00343392">
      <w:pPr>
        <w:pStyle w:val="NoSpacing"/>
        <w:ind w:right="-284"/>
        <w:rPr>
          <w:rFonts w:ascii="Times New Roman" w:hAnsi="Times New Roman" w:cs="Times New Roman"/>
        </w:rPr>
      </w:pPr>
    </w:p>
    <w:p w:rsidR="00DE44F3" w:rsidRPr="00690E80" w:rsidRDefault="00DE44F3" w:rsidP="00DD00EE">
      <w:pPr>
        <w:pStyle w:val="NoSpacing"/>
        <w:ind w:right="-284" w:firstLine="708"/>
        <w:jc w:val="both"/>
        <w:rPr>
          <w:rFonts w:ascii="Times New Roman" w:hAnsi="Times New Roman" w:cs="Times New Roman"/>
        </w:rPr>
      </w:pPr>
      <w:r w:rsidRPr="00690E80">
        <w:rPr>
          <w:rFonts w:ascii="Times New Roman" w:hAnsi="Times New Roman" w:cs="Times New Roman"/>
        </w:rPr>
        <w:t>Изпълнителят следва да осигури на Възложителя услуга по прогнозиране на потребление, изготвяне на почасови графици, администриране на информационния поток към ЕСО ЕАД, както и отговорност по балансиране.</w:t>
      </w:r>
    </w:p>
    <w:p w:rsidR="00DE44F3" w:rsidRPr="00690E80" w:rsidRDefault="00DE2A35" w:rsidP="00DD00EE">
      <w:pPr>
        <w:pStyle w:val="NoSpacing"/>
        <w:ind w:right="-284" w:firstLine="708"/>
        <w:jc w:val="both"/>
        <w:rPr>
          <w:rFonts w:ascii="Times New Roman" w:hAnsi="Times New Roman" w:cs="Times New Roman"/>
        </w:rPr>
      </w:pPr>
      <w:r w:rsidRPr="00690E80">
        <w:rPr>
          <w:rFonts w:ascii="Times New Roman" w:hAnsi="Times New Roman" w:cs="Times New Roman"/>
        </w:rPr>
        <w:t>В зависимост от потребностите си, Възложителят може да изважда или да добавя нови обекти в посочения списък</w:t>
      </w:r>
      <w:r w:rsidR="009D32F6" w:rsidRPr="00690E80">
        <w:rPr>
          <w:rFonts w:ascii="Times New Roman" w:hAnsi="Times New Roman" w:cs="Times New Roman"/>
        </w:rPr>
        <w:t>.</w:t>
      </w:r>
    </w:p>
    <w:p w:rsidR="00B54C13" w:rsidRPr="00690E80" w:rsidRDefault="00B54C13" w:rsidP="00DD00EE">
      <w:pPr>
        <w:pStyle w:val="NoSpacing"/>
        <w:ind w:right="-284"/>
        <w:jc w:val="both"/>
        <w:rPr>
          <w:rFonts w:ascii="Times New Roman" w:hAnsi="Times New Roman" w:cs="Times New Roman"/>
          <w:u w:val="single"/>
        </w:rPr>
      </w:pPr>
      <w:r w:rsidRPr="00690E80">
        <w:rPr>
          <w:rFonts w:ascii="Times New Roman" w:hAnsi="Times New Roman" w:cs="Times New Roman"/>
          <w:u w:val="single"/>
        </w:rPr>
        <w:t>Изпълнителят на настоящата обществена поръчка е длъжен да:</w:t>
      </w:r>
    </w:p>
    <w:p w:rsidR="00B54C13" w:rsidRPr="00690E80" w:rsidRDefault="00F76186" w:rsidP="00DD00EE">
      <w:pPr>
        <w:pStyle w:val="NoSpacing"/>
        <w:ind w:right="-284"/>
        <w:jc w:val="both"/>
        <w:rPr>
          <w:rFonts w:ascii="Times New Roman" w:hAnsi="Times New Roman" w:cs="Times New Roman"/>
        </w:rPr>
      </w:pPr>
      <w:bookmarkStart w:id="2" w:name="page9"/>
      <w:bookmarkEnd w:id="2"/>
      <w:r w:rsidRPr="00690E80">
        <w:rPr>
          <w:rFonts w:ascii="Times New Roman" w:hAnsi="Times New Roman" w:cs="Times New Roman"/>
        </w:rPr>
        <w:t xml:space="preserve">- </w:t>
      </w:r>
      <w:r w:rsidR="00B54C13" w:rsidRPr="00690E80">
        <w:rPr>
          <w:rFonts w:ascii="Times New Roman" w:hAnsi="Times New Roman" w:cs="Times New Roman"/>
        </w:rPr>
        <w:t>продава на Възложителя договорените количества електрическата енергия</w:t>
      </w:r>
      <w:r w:rsidR="008805BD" w:rsidRPr="00690E80">
        <w:rPr>
          <w:rFonts w:ascii="Times New Roman" w:hAnsi="Times New Roman" w:cs="Times New Roman"/>
          <w:lang w:val="en-US"/>
        </w:rPr>
        <w:t xml:space="preserve"> </w:t>
      </w:r>
      <w:r w:rsidR="008805BD" w:rsidRPr="00690E80">
        <w:rPr>
          <w:rFonts w:ascii="Times New Roman" w:hAnsi="Times New Roman" w:cs="Times New Roman"/>
        </w:rPr>
        <w:t xml:space="preserve">в </w:t>
      </w:r>
      <w:r w:rsidR="00B54C13" w:rsidRPr="00690E80">
        <w:rPr>
          <w:rFonts w:ascii="Times New Roman" w:hAnsi="Times New Roman" w:cs="Times New Roman"/>
        </w:rPr>
        <w:t>мястото на доставка, съгласно приложимите Правила за търговия с електрическа енергия, приети с решение на КЕВР, последно обн. в Държавен вестник (ПТЕЕ</w:t>
      </w:r>
      <w:r w:rsidR="008805BD" w:rsidRPr="00690E80">
        <w:rPr>
          <w:rFonts w:ascii="Times New Roman" w:hAnsi="Times New Roman" w:cs="Times New Roman"/>
          <w:lang w:val="en-US"/>
        </w:rPr>
        <w:t>)</w:t>
      </w:r>
      <w:r w:rsidR="00462D0C" w:rsidRPr="00690E80">
        <w:rPr>
          <w:rFonts w:ascii="Times New Roman" w:hAnsi="Times New Roman" w:cs="Times New Roman"/>
        </w:rPr>
        <w:t>;</w:t>
      </w:r>
    </w:p>
    <w:p w:rsidR="00B54C13" w:rsidRPr="00690E80" w:rsidRDefault="00F76186" w:rsidP="00DD00EE">
      <w:pPr>
        <w:pStyle w:val="NoSpacing"/>
        <w:ind w:right="-284"/>
        <w:jc w:val="both"/>
        <w:rPr>
          <w:rFonts w:ascii="Times New Roman" w:hAnsi="Times New Roman" w:cs="Times New Roman"/>
        </w:rPr>
      </w:pPr>
      <w:r w:rsidRPr="00690E80">
        <w:rPr>
          <w:rFonts w:ascii="Times New Roman" w:hAnsi="Times New Roman" w:cs="Times New Roman"/>
        </w:rPr>
        <w:t xml:space="preserve">- </w:t>
      </w:r>
      <w:r w:rsidR="00B54C13" w:rsidRPr="00690E80">
        <w:rPr>
          <w:rFonts w:ascii="Times New Roman" w:hAnsi="Times New Roman" w:cs="Times New Roman"/>
        </w:rPr>
        <w:t>включи Възложителя в стандартна балансираща група с координатор Изпълнителя, без Възложителя да заплаща такса за участие</w:t>
      </w:r>
      <w:r w:rsidR="00462D0C" w:rsidRPr="00690E80">
        <w:rPr>
          <w:rFonts w:ascii="Times New Roman" w:hAnsi="Times New Roman" w:cs="Times New Roman"/>
        </w:rPr>
        <w:t>;</w:t>
      </w:r>
    </w:p>
    <w:p w:rsidR="00B54C13" w:rsidRPr="00690E80" w:rsidRDefault="00462D0C" w:rsidP="00DD00EE">
      <w:pPr>
        <w:pStyle w:val="NoSpacing"/>
        <w:ind w:right="-284"/>
        <w:jc w:val="both"/>
        <w:rPr>
          <w:rFonts w:ascii="Times New Roman" w:hAnsi="Times New Roman" w:cs="Times New Roman"/>
        </w:rPr>
      </w:pPr>
      <w:r w:rsidRPr="00690E80">
        <w:rPr>
          <w:rFonts w:ascii="Times New Roman" w:hAnsi="Times New Roman" w:cs="Times New Roman"/>
        </w:rPr>
        <w:t xml:space="preserve">- </w:t>
      </w:r>
      <w:r w:rsidR="00B54C13" w:rsidRPr="00690E80">
        <w:rPr>
          <w:rFonts w:ascii="Times New Roman" w:hAnsi="Times New Roman" w:cs="Times New Roman"/>
        </w:rPr>
        <w:t>извършва всички необходими действия, съгласно действащите към момента ПТЕЕ така, че да осигури изпълнението на настоящия договор</w:t>
      </w:r>
      <w:r w:rsidRPr="00690E80">
        <w:rPr>
          <w:rFonts w:ascii="Times New Roman" w:hAnsi="Times New Roman" w:cs="Times New Roman"/>
        </w:rPr>
        <w:t>;</w:t>
      </w:r>
    </w:p>
    <w:p w:rsidR="008805BD" w:rsidRPr="00690E80" w:rsidRDefault="008805BD" w:rsidP="00DD00EE">
      <w:pPr>
        <w:pStyle w:val="NoSpacing"/>
        <w:ind w:right="-284"/>
        <w:jc w:val="both"/>
        <w:rPr>
          <w:rFonts w:ascii="Times New Roman" w:hAnsi="Times New Roman" w:cs="Times New Roman"/>
        </w:rPr>
      </w:pPr>
      <w:r w:rsidRPr="00690E80">
        <w:rPr>
          <w:rFonts w:ascii="Times New Roman" w:hAnsi="Times New Roman" w:cs="Times New Roman"/>
        </w:rPr>
        <w:t xml:space="preserve">- издава единни фактури </w:t>
      </w:r>
      <w:r w:rsidR="0035071C" w:rsidRPr="00690E80">
        <w:rPr>
          <w:rFonts w:ascii="Times New Roman" w:hAnsi="Times New Roman" w:cs="Times New Roman"/>
        </w:rPr>
        <w:t>за</w:t>
      </w:r>
      <w:r w:rsidR="00100CF3">
        <w:rPr>
          <w:rFonts w:ascii="Times New Roman" w:hAnsi="Times New Roman" w:cs="Times New Roman"/>
          <w:lang w:val="en-US"/>
        </w:rPr>
        <w:t xml:space="preserve"> обекта/клиентския номер</w:t>
      </w:r>
      <w:r w:rsidR="00100CF3">
        <w:rPr>
          <w:rFonts w:ascii="Times New Roman" w:hAnsi="Times New Roman" w:cs="Times New Roman"/>
        </w:rPr>
        <w:t xml:space="preserve"> </w:t>
      </w:r>
      <w:bookmarkStart w:id="3" w:name="_GoBack"/>
      <w:bookmarkEnd w:id="3"/>
      <w:r w:rsidR="00100CF3">
        <w:rPr>
          <w:rFonts w:ascii="Times New Roman" w:hAnsi="Times New Roman" w:cs="Times New Roman"/>
          <w:lang w:val="en-US"/>
        </w:rPr>
        <w:t>/</w:t>
      </w:r>
      <w:r w:rsidR="0035071C" w:rsidRPr="00690E80">
        <w:rPr>
          <w:rFonts w:ascii="Times New Roman" w:hAnsi="Times New Roman" w:cs="Times New Roman"/>
        </w:rPr>
        <w:t xml:space="preserve"> всеки един от </w:t>
      </w:r>
      <w:r w:rsidR="00332DAF" w:rsidRPr="00690E80">
        <w:rPr>
          <w:rFonts w:ascii="Times New Roman" w:hAnsi="Times New Roman" w:cs="Times New Roman"/>
        </w:rPr>
        <w:t>обектите/</w:t>
      </w:r>
      <w:r w:rsidR="0035071C" w:rsidRPr="00690E80">
        <w:rPr>
          <w:rFonts w:ascii="Times New Roman" w:hAnsi="Times New Roman" w:cs="Times New Roman"/>
        </w:rPr>
        <w:t xml:space="preserve">клиентските номера </w:t>
      </w:r>
      <w:r w:rsidRPr="00690E80">
        <w:rPr>
          <w:rFonts w:ascii="Times New Roman" w:hAnsi="Times New Roman" w:cs="Times New Roman"/>
        </w:rPr>
        <w:t>на Възложителя, включваща консумираната активна електрическа енергия за определения месец, акциз и задължение към обществото, както и всички нормативно определени мрежови услуги.</w:t>
      </w:r>
    </w:p>
    <w:p w:rsidR="00B54C13" w:rsidRPr="00690E80" w:rsidRDefault="00462D0C" w:rsidP="00DD00EE">
      <w:pPr>
        <w:pStyle w:val="NoSpacing"/>
        <w:ind w:right="-284"/>
        <w:jc w:val="both"/>
        <w:rPr>
          <w:rFonts w:ascii="Times New Roman" w:hAnsi="Times New Roman" w:cs="Times New Roman"/>
        </w:rPr>
      </w:pPr>
      <w:r w:rsidRPr="00690E80">
        <w:rPr>
          <w:rFonts w:ascii="Times New Roman" w:hAnsi="Times New Roman" w:cs="Times New Roman"/>
        </w:rPr>
        <w:t xml:space="preserve">- </w:t>
      </w:r>
      <w:r w:rsidR="00B54C13" w:rsidRPr="00690E80">
        <w:rPr>
          <w:rFonts w:ascii="Times New Roman" w:hAnsi="Times New Roman" w:cs="Times New Roman"/>
        </w:rPr>
        <w:t>уведомява Възложителя в посочените в договора срокове при: невъзможност или забавяне на изпълнението на задълженията му по Договора; промяна в лицата, които го представляват или са упълномощени да извършват действия по изпълнението на този Договор; промяна в данните по регистрация, в данните, необходими за издаване на данъчни фактури и др.</w:t>
      </w:r>
      <w:r w:rsidRPr="00690E80">
        <w:rPr>
          <w:rFonts w:ascii="Times New Roman" w:hAnsi="Times New Roman" w:cs="Times New Roman"/>
        </w:rPr>
        <w:t>;</w:t>
      </w:r>
    </w:p>
    <w:p w:rsidR="00462D0C" w:rsidRPr="00690E80" w:rsidRDefault="00462D0C" w:rsidP="00DD00EE">
      <w:pPr>
        <w:pStyle w:val="NoSpacing"/>
        <w:ind w:right="-284"/>
        <w:jc w:val="both"/>
        <w:rPr>
          <w:rFonts w:ascii="Times New Roman" w:hAnsi="Times New Roman" w:cs="Times New Roman"/>
        </w:rPr>
      </w:pPr>
      <w:r w:rsidRPr="00690E80">
        <w:rPr>
          <w:rFonts w:ascii="Times New Roman" w:hAnsi="Times New Roman" w:cs="Times New Roman"/>
        </w:rPr>
        <w:t xml:space="preserve">- </w:t>
      </w:r>
      <w:r w:rsidR="00B54C13" w:rsidRPr="00690E80">
        <w:rPr>
          <w:rFonts w:ascii="Times New Roman" w:hAnsi="Times New Roman" w:cs="Times New Roman"/>
        </w:rPr>
        <w:t>предоставя на Възложителя поисканите от него и уговорени в Договора информация, данни или документи</w:t>
      </w:r>
      <w:r w:rsidR="0035071C" w:rsidRPr="00690E80">
        <w:rPr>
          <w:rFonts w:ascii="Times New Roman" w:hAnsi="Times New Roman" w:cs="Times New Roman"/>
        </w:rPr>
        <w:t>, свързани с изпълнението на договора</w:t>
      </w:r>
      <w:r w:rsidR="00B54C13" w:rsidRPr="00690E80">
        <w:rPr>
          <w:rFonts w:ascii="Times New Roman" w:hAnsi="Times New Roman" w:cs="Times New Roman"/>
        </w:rPr>
        <w:t xml:space="preserve"> по начина и в сроковете, посочени в Договора</w:t>
      </w:r>
      <w:r w:rsidR="0075155A" w:rsidRPr="00690E80">
        <w:rPr>
          <w:rFonts w:ascii="Times New Roman" w:hAnsi="Times New Roman" w:cs="Times New Roman"/>
        </w:rPr>
        <w:t xml:space="preserve"> /консумирана електрическа енергия на отделните обекти, справки, графики и отчети за това и др./</w:t>
      </w:r>
      <w:r w:rsidRPr="00690E80">
        <w:rPr>
          <w:rFonts w:ascii="Times New Roman" w:hAnsi="Times New Roman" w:cs="Times New Roman"/>
        </w:rPr>
        <w:t>;</w:t>
      </w:r>
      <w:r w:rsidR="00603C46" w:rsidRPr="00690E80">
        <w:rPr>
          <w:rFonts w:ascii="Times New Roman" w:hAnsi="Times New Roman" w:cs="Times New Roman"/>
        </w:rPr>
        <w:t xml:space="preserve"> </w:t>
      </w:r>
    </w:p>
    <w:p w:rsidR="00603C46" w:rsidRPr="00690E80" w:rsidRDefault="00462D0C" w:rsidP="00DD00EE">
      <w:pPr>
        <w:pStyle w:val="NoSpacing"/>
        <w:ind w:right="-284"/>
        <w:jc w:val="both"/>
        <w:rPr>
          <w:rFonts w:ascii="Times New Roman" w:hAnsi="Times New Roman" w:cs="Times New Roman"/>
        </w:rPr>
      </w:pPr>
      <w:r w:rsidRPr="00690E80">
        <w:rPr>
          <w:rFonts w:ascii="Times New Roman" w:hAnsi="Times New Roman" w:cs="Times New Roman"/>
        </w:rPr>
        <w:t xml:space="preserve">- </w:t>
      </w:r>
      <w:r w:rsidR="00603C46" w:rsidRPr="00690E80">
        <w:rPr>
          <w:rFonts w:ascii="Times New Roman" w:hAnsi="Times New Roman" w:cs="Times New Roman"/>
        </w:rPr>
        <w:t>разполага  с техническо  оборудване,  вкл.  и  изградена платформа или еквивалентна такава система с „online“ достъп за потребителите, която да позволява да се следи потреблението и количествата консумирана електрическа енергия на отделните обекти на потребителите, да има възможност за извеждане на справки, графики и отчети за това, да поддържа архив с издаваните фактури и консумираната електрическа енергия на потребителите</w:t>
      </w:r>
      <w:r w:rsidRPr="00690E80">
        <w:rPr>
          <w:rFonts w:ascii="Times New Roman" w:hAnsi="Times New Roman" w:cs="Times New Roman"/>
        </w:rPr>
        <w:t>;</w:t>
      </w:r>
    </w:p>
    <w:p w:rsidR="00B54C13" w:rsidRPr="00690E80" w:rsidRDefault="00462D0C" w:rsidP="00DD00EE">
      <w:pPr>
        <w:pStyle w:val="NoSpacing"/>
        <w:ind w:right="-284"/>
        <w:jc w:val="both"/>
        <w:rPr>
          <w:rFonts w:ascii="Times New Roman" w:hAnsi="Times New Roman" w:cs="Times New Roman"/>
        </w:rPr>
      </w:pPr>
      <w:r w:rsidRPr="00690E80">
        <w:rPr>
          <w:rFonts w:ascii="Times New Roman" w:hAnsi="Times New Roman" w:cs="Times New Roman"/>
        </w:rPr>
        <w:t xml:space="preserve">- </w:t>
      </w:r>
      <w:r w:rsidR="00B54C13" w:rsidRPr="00690E80">
        <w:rPr>
          <w:rFonts w:ascii="Times New Roman" w:hAnsi="Times New Roman" w:cs="Times New Roman"/>
        </w:rPr>
        <w:t>спазва разпоредбите и правилата, заложени в Закон за енергетиката (ЗЕ) и наредбите към него, както и ПТЕЕ и разпорежданията на Оператор на електропреносна мрежа (ОЕМ) така, че да не бъде отстранен от пазара на балансираща енергия</w:t>
      </w:r>
      <w:r w:rsidRPr="00690E80">
        <w:rPr>
          <w:rFonts w:ascii="Times New Roman" w:hAnsi="Times New Roman" w:cs="Times New Roman"/>
        </w:rPr>
        <w:t>;</w:t>
      </w:r>
    </w:p>
    <w:p w:rsidR="003866A7" w:rsidRPr="00690E80" w:rsidRDefault="00462D0C" w:rsidP="00DD00EE">
      <w:pPr>
        <w:pStyle w:val="NoSpacing"/>
        <w:ind w:right="-284"/>
        <w:jc w:val="both"/>
        <w:rPr>
          <w:rFonts w:ascii="Times New Roman" w:hAnsi="Times New Roman" w:cs="Times New Roman"/>
        </w:rPr>
      </w:pPr>
      <w:r w:rsidRPr="00690E80">
        <w:rPr>
          <w:rFonts w:ascii="Times New Roman" w:hAnsi="Times New Roman" w:cs="Times New Roman"/>
        </w:rPr>
        <w:t xml:space="preserve">- </w:t>
      </w:r>
      <w:r w:rsidR="003866A7" w:rsidRPr="00690E80">
        <w:rPr>
          <w:rFonts w:ascii="Times New Roman" w:hAnsi="Times New Roman" w:cs="Times New Roman"/>
        </w:rPr>
        <w:t xml:space="preserve">доставя електрическа  енергия  </w:t>
      </w:r>
      <w:r w:rsidRPr="00690E80">
        <w:rPr>
          <w:rFonts w:ascii="Times New Roman" w:hAnsi="Times New Roman" w:cs="Times New Roman"/>
        </w:rPr>
        <w:t xml:space="preserve">с  качество,  отговарящо  на </w:t>
      </w:r>
      <w:r w:rsidR="003866A7" w:rsidRPr="00690E80">
        <w:rPr>
          <w:rFonts w:ascii="Times New Roman" w:hAnsi="Times New Roman" w:cs="Times New Roman"/>
        </w:rPr>
        <w:t>нормативните изисквания, съгласно Закона за енергетиката (ЗЕ) и Правилата за търговия с електрическа енергия (ПТЕЕ)</w:t>
      </w:r>
      <w:r w:rsidRPr="00690E80">
        <w:rPr>
          <w:rFonts w:ascii="Times New Roman" w:hAnsi="Times New Roman" w:cs="Times New Roman"/>
        </w:rPr>
        <w:t>;</w:t>
      </w:r>
    </w:p>
    <w:p w:rsidR="00ED4307" w:rsidRPr="00690E80" w:rsidRDefault="00462D0C" w:rsidP="00DD00EE">
      <w:pPr>
        <w:pStyle w:val="NoSpacing"/>
        <w:ind w:right="-284"/>
        <w:jc w:val="both"/>
        <w:rPr>
          <w:rFonts w:ascii="Times New Roman" w:hAnsi="Times New Roman" w:cs="Times New Roman"/>
        </w:rPr>
      </w:pPr>
      <w:r w:rsidRPr="00690E80">
        <w:rPr>
          <w:rFonts w:ascii="Times New Roman" w:hAnsi="Times New Roman" w:cs="Times New Roman"/>
        </w:rPr>
        <w:t>- е регистриран в регистъра на координатори на стандартни балансиращи групи на интернет страницата на ECO ЕАД със статус „активен“</w:t>
      </w:r>
      <w:r w:rsidR="000A3863" w:rsidRPr="00690E80">
        <w:rPr>
          <w:rFonts w:ascii="Times New Roman" w:hAnsi="Times New Roman" w:cs="Times New Roman"/>
          <w:lang w:val="en-US"/>
        </w:rPr>
        <w:t xml:space="preserve">. </w:t>
      </w:r>
    </w:p>
    <w:p w:rsidR="0035071C" w:rsidRPr="00690E80" w:rsidRDefault="0035071C" w:rsidP="00DD00EE">
      <w:pPr>
        <w:tabs>
          <w:tab w:val="left" w:pos="0"/>
        </w:tabs>
        <w:spacing w:line="0" w:lineRule="atLeast"/>
        <w:ind w:right="-284"/>
        <w:jc w:val="both"/>
        <w:rPr>
          <w:rFonts w:ascii="Times New Roman" w:hAnsi="Times New Roman" w:cs="Times New Roman"/>
        </w:rPr>
      </w:pPr>
      <w:r w:rsidRPr="00690E80">
        <w:rPr>
          <w:rFonts w:ascii="Times New Roman" w:hAnsi="Times New Roman" w:cs="Times New Roman"/>
        </w:rPr>
        <w:lastRenderedPageBreak/>
        <w:t xml:space="preserve">- да има сключен рамков договор, съгласно чл.23 ПТЕЕ със съответния мрежови оператор </w:t>
      </w:r>
      <w:r w:rsidR="009950D5" w:rsidRPr="00690E80">
        <w:rPr>
          <w:rFonts w:ascii="Times New Roman" w:hAnsi="Times New Roman" w:cs="Times New Roman"/>
        </w:rPr>
        <w:t>лицензиран з</w:t>
      </w:r>
      <w:r w:rsidRPr="00690E80">
        <w:rPr>
          <w:rFonts w:ascii="Times New Roman" w:hAnsi="Times New Roman" w:cs="Times New Roman"/>
        </w:rPr>
        <w:t>а територията на възложителя</w:t>
      </w:r>
    </w:p>
    <w:p w:rsidR="00FD4A29" w:rsidRPr="00690E80" w:rsidRDefault="00FD4A29" w:rsidP="00DD00EE">
      <w:pPr>
        <w:pStyle w:val="NoSpacing"/>
        <w:ind w:right="-284"/>
        <w:jc w:val="both"/>
        <w:rPr>
          <w:rFonts w:ascii="Times New Roman" w:hAnsi="Times New Roman" w:cs="Times New Roman"/>
          <w:u w:val="single"/>
        </w:rPr>
      </w:pPr>
    </w:p>
    <w:p w:rsidR="00AF4449" w:rsidRPr="00690E80" w:rsidRDefault="00AF4449" w:rsidP="00690E80">
      <w:pPr>
        <w:pStyle w:val="NoSpacing"/>
        <w:ind w:right="-284" w:firstLine="708"/>
        <w:jc w:val="both"/>
        <w:rPr>
          <w:rFonts w:ascii="Times New Roman" w:hAnsi="Times New Roman" w:cs="Times New Roman"/>
          <w:u w:val="single"/>
        </w:rPr>
      </w:pPr>
      <w:r w:rsidRPr="00690E80">
        <w:rPr>
          <w:rFonts w:ascii="Times New Roman" w:hAnsi="Times New Roman" w:cs="Times New Roman"/>
          <w:u w:val="single"/>
        </w:rPr>
        <w:t>Прогнозни количества:</w:t>
      </w:r>
    </w:p>
    <w:p w:rsidR="00AF4449" w:rsidRPr="00690E80" w:rsidRDefault="00AF4449" w:rsidP="00AF4449">
      <w:pPr>
        <w:pStyle w:val="Default"/>
        <w:rPr>
          <w:sz w:val="20"/>
          <w:szCs w:val="20"/>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872"/>
        <w:gridCol w:w="1872"/>
        <w:gridCol w:w="1872"/>
        <w:gridCol w:w="1873"/>
      </w:tblGrid>
      <w:tr w:rsidR="00AF4449" w:rsidRPr="00690E80" w:rsidTr="00AF4449">
        <w:trPr>
          <w:trHeight w:val="107"/>
        </w:trPr>
        <w:tc>
          <w:tcPr>
            <w:tcW w:w="9361" w:type="dxa"/>
            <w:gridSpan w:val="5"/>
          </w:tcPr>
          <w:p w:rsidR="00AF4449" w:rsidRPr="00690E80" w:rsidRDefault="00AF4449">
            <w:pPr>
              <w:pStyle w:val="Default"/>
              <w:rPr>
                <w:sz w:val="20"/>
                <w:szCs w:val="20"/>
              </w:rPr>
            </w:pPr>
            <w:r w:rsidRPr="00690E80">
              <w:rPr>
                <w:sz w:val="20"/>
                <w:szCs w:val="20"/>
              </w:rPr>
              <w:t xml:space="preserve"> </w:t>
            </w:r>
            <w:r w:rsidRPr="00690E80">
              <w:rPr>
                <w:b/>
                <w:bCs/>
                <w:sz w:val="20"/>
                <w:szCs w:val="20"/>
              </w:rPr>
              <w:t xml:space="preserve">УМБАЛ „Света Екатерина“ ЕАД </w:t>
            </w:r>
          </w:p>
        </w:tc>
      </w:tr>
      <w:tr w:rsidR="00AF4449" w:rsidRPr="00690E80" w:rsidTr="00AF4449">
        <w:trPr>
          <w:trHeight w:val="107"/>
        </w:trPr>
        <w:tc>
          <w:tcPr>
            <w:tcW w:w="1872" w:type="dxa"/>
          </w:tcPr>
          <w:p w:rsidR="00AF4449" w:rsidRPr="00690E80" w:rsidRDefault="00AF4449">
            <w:pPr>
              <w:pStyle w:val="Default"/>
              <w:rPr>
                <w:sz w:val="20"/>
                <w:szCs w:val="20"/>
              </w:rPr>
            </w:pPr>
            <w:r w:rsidRPr="00690E80">
              <w:rPr>
                <w:b/>
                <w:bCs/>
                <w:sz w:val="20"/>
                <w:szCs w:val="20"/>
              </w:rPr>
              <w:t xml:space="preserve">Месец </w:t>
            </w:r>
          </w:p>
        </w:tc>
        <w:tc>
          <w:tcPr>
            <w:tcW w:w="1872" w:type="dxa"/>
          </w:tcPr>
          <w:p w:rsidR="00AF4449" w:rsidRPr="00690E80" w:rsidRDefault="00AF4449">
            <w:pPr>
              <w:pStyle w:val="Default"/>
              <w:rPr>
                <w:sz w:val="20"/>
                <w:szCs w:val="20"/>
              </w:rPr>
            </w:pPr>
            <w:r w:rsidRPr="00690E80">
              <w:rPr>
                <w:b/>
                <w:bCs/>
                <w:sz w:val="20"/>
                <w:szCs w:val="20"/>
              </w:rPr>
              <w:t xml:space="preserve">кВтч - върхова </w:t>
            </w:r>
          </w:p>
        </w:tc>
        <w:tc>
          <w:tcPr>
            <w:tcW w:w="1872" w:type="dxa"/>
          </w:tcPr>
          <w:p w:rsidR="00AF4449" w:rsidRPr="00690E80" w:rsidRDefault="00AF4449">
            <w:pPr>
              <w:pStyle w:val="Default"/>
              <w:rPr>
                <w:sz w:val="20"/>
                <w:szCs w:val="20"/>
              </w:rPr>
            </w:pPr>
            <w:r w:rsidRPr="00690E80">
              <w:rPr>
                <w:b/>
                <w:bCs/>
                <w:sz w:val="20"/>
                <w:szCs w:val="20"/>
              </w:rPr>
              <w:t xml:space="preserve">кВтч - дневна </w:t>
            </w:r>
          </w:p>
        </w:tc>
        <w:tc>
          <w:tcPr>
            <w:tcW w:w="1872" w:type="dxa"/>
          </w:tcPr>
          <w:p w:rsidR="00AF4449" w:rsidRPr="00690E80" w:rsidRDefault="00AF4449">
            <w:pPr>
              <w:pStyle w:val="Default"/>
              <w:rPr>
                <w:sz w:val="20"/>
                <w:szCs w:val="20"/>
              </w:rPr>
            </w:pPr>
            <w:r w:rsidRPr="00690E80">
              <w:rPr>
                <w:b/>
                <w:bCs/>
                <w:sz w:val="20"/>
                <w:szCs w:val="20"/>
              </w:rPr>
              <w:t xml:space="preserve">кВтч - нощна </w:t>
            </w:r>
          </w:p>
        </w:tc>
        <w:tc>
          <w:tcPr>
            <w:tcW w:w="1873" w:type="dxa"/>
          </w:tcPr>
          <w:p w:rsidR="00AF4449" w:rsidRPr="00690E80" w:rsidRDefault="00AF4449">
            <w:pPr>
              <w:pStyle w:val="Default"/>
              <w:rPr>
                <w:sz w:val="20"/>
                <w:szCs w:val="20"/>
              </w:rPr>
            </w:pPr>
            <w:r w:rsidRPr="00690E80">
              <w:rPr>
                <w:b/>
                <w:bCs/>
                <w:sz w:val="20"/>
                <w:szCs w:val="20"/>
              </w:rPr>
              <w:t xml:space="preserve">кВтч - общо </w:t>
            </w:r>
          </w:p>
        </w:tc>
      </w:tr>
      <w:tr w:rsidR="00AF4449" w:rsidRPr="00690E80" w:rsidTr="00AF4449">
        <w:trPr>
          <w:trHeight w:val="109"/>
        </w:trPr>
        <w:tc>
          <w:tcPr>
            <w:tcW w:w="1872" w:type="dxa"/>
          </w:tcPr>
          <w:p w:rsidR="00AF4449" w:rsidRPr="00690E80" w:rsidRDefault="00AF4449">
            <w:pPr>
              <w:pStyle w:val="Default"/>
              <w:rPr>
                <w:sz w:val="20"/>
                <w:szCs w:val="20"/>
              </w:rPr>
            </w:pPr>
            <w:r w:rsidRPr="00690E80">
              <w:rPr>
                <w:sz w:val="20"/>
                <w:szCs w:val="20"/>
              </w:rPr>
              <w:t xml:space="preserve">I. </w:t>
            </w:r>
          </w:p>
        </w:tc>
        <w:tc>
          <w:tcPr>
            <w:tcW w:w="1872" w:type="dxa"/>
          </w:tcPr>
          <w:p w:rsidR="00AF4449" w:rsidRPr="00690E80" w:rsidRDefault="00AF4449">
            <w:pPr>
              <w:pStyle w:val="Default"/>
              <w:rPr>
                <w:sz w:val="20"/>
                <w:szCs w:val="20"/>
              </w:rPr>
            </w:pPr>
            <w:r w:rsidRPr="00690E80">
              <w:rPr>
                <w:sz w:val="20"/>
                <w:szCs w:val="20"/>
              </w:rPr>
              <w:t xml:space="preserve">30 000 </w:t>
            </w:r>
          </w:p>
        </w:tc>
        <w:tc>
          <w:tcPr>
            <w:tcW w:w="1872" w:type="dxa"/>
          </w:tcPr>
          <w:p w:rsidR="00AF4449" w:rsidRPr="00690E80" w:rsidRDefault="00AF4449">
            <w:pPr>
              <w:pStyle w:val="Default"/>
              <w:rPr>
                <w:sz w:val="20"/>
                <w:szCs w:val="20"/>
              </w:rPr>
            </w:pPr>
            <w:r w:rsidRPr="00690E80">
              <w:rPr>
                <w:sz w:val="20"/>
                <w:szCs w:val="20"/>
              </w:rPr>
              <w:t xml:space="preserve">50 000 </w:t>
            </w:r>
          </w:p>
        </w:tc>
        <w:tc>
          <w:tcPr>
            <w:tcW w:w="1872" w:type="dxa"/>
          </w:tcPr>
          <w:p w:rsidR="00AF4449" w:rsidRPr="00690E80" w:rsidRDefault="00AF4449">
            <w:pPr>
              <w:pStyle w:val="Default"/>
              <w:rPr>
                <w:sz w:val="20"/>
                <w:szCs w:val="20"/>
              </w:rPr>
            </w:pPr>
            <w:r w:rsidRPr="00690E80">
              <w:rPr>
                <w:sz w:val="20"/>
                <w:szCs w:val="20"/>
              </w:rPr>
              <w:t xml:space="preserve">35 000 </w:t>
            </w:r>
          </w:p>
        </w:tc>
        <w:tc>
          <w:tcPr>
            <w:tcW w:w="1873" w:type="dxa"/>
          </w:tcPr>
          <w:p w:rsidR="00AF4449" w:rsidRPr="00690E80" w:rsidRDefault="00AF4449">
            <w:pPr>
              <w:pStyle w:val="Default"/>
              <w:rPr>
                <w:sz w:val="20"/>
                <w:szCs w:val="20"/>
              </w:rPr>
            </w:pPr>
            <w:r w:rsidRPr="00690E80">
              <w:rPr>
                <w:sz w:val="20"/>
                <w:szCs w:val="20"/>
              </w:rPr>
              <w:t xml:space="preserve">115 000 </w:t>
            </w:r>
          </w:p>
        </w:tc>
      </w:tr>
      <w:tr w:rsidR="00AF4449" w:rsidRPr="00690E80" w:rsidTr="00AF4449">
        <w:trPr>
          <w:trHeight w:val="109"/>
        </w:trPr>
        <w:tc>
          <w:tcPr>
            <w:tcW w:w="1872" w:type="dxa"/>
          </w:tcPr>
          <w:p w:rsidR="00AF4449" w:rsidRPr="00690E80" w:rsidRDefault="00AF4449">
            <w:pPr>
              <w:pStyle w:val="Default"/>
              <w:rPr>
                <w:sz w:val="20"/>
                <w:szCs w:val="20"/>
              </w:rPr>
            </w:pPr>
            <w:r w:rsidRPr="00690E80">
              <w:rPr>
                <w:sz w:val="20"/>
                <w:szCs w:val="20"/>
              </w:rPr>
              <w:t xml:space="preserve">II. </w:t>
            </w:r>
          </w:p>
        </w:tc>
        <w:tc>
          <w:tcPr>
            <w:tcW w:w="1872" w:type="dxa"/>
          </w:tcPr>
          <w:p w:rsidR="00AF4449" w:rsidRPr="00690E80" w:rsidRDefault="00AF4449">
            <w:pPr>
              <w:pStyle w:val="Default"/>
              <w:rPr>
                <w:sz w:val="20"/>
                <w:szCs w:val="20"/>
              </w:rPr>
            </w:pPr>
            <w:r w:rsidRPr="00690E80">
              <w:rPr>
                <w:sz w:val="20"/>
                <w:szCs w:val="20"/>
              </w:rPr>
              <w:t xml:space="preserve">25 000 </w:t>
            </w:r>
          </w:p>
        </w:tc>
        <w:tc>
          <w:tcPr>
            <w:tcW w:w="1872" w:type="dxa"/>
          </w:tcPr>
          <w:p w:rsidR="00AF4449" w:rsidRPr="00690E80" w:rsidRDefault="00AF4449">
            <w:pPr>
              <w:pStyle w:val="Default"/>
              <w:rPr>
                <w:sz w:val="20"/>
                <w:szCs w:val="20"/>
              </w:rPr>
            </w:pPr>
            <w:r w:rsidRPr="00690E80">
              <w:rPr>
                <w:sz w:val="20"/>
                <w:szCs w:val="20"/>
              </w:rPr>
              <w:t xml:space="preserve">41 000 </w:t>
            </w:r>
          </w:p>
        </w:tc>
        <w:tc>
          <w:tcPr>
            <w:tcW w:w="1872" w:type="dxa"/>
          </w:tcPr>
          <w:p w:rsidR="00AF4449" w:rsidRPr="00690E80" w:rsidRDefault="00AF4449">
            <w:pPr>
              <w:pStyle w:val="Default"/>
              <w:rPr>
                <w:sz w:val="20"/>
                <w:szCs w:val="20"/>
              </w:rPr>
            </w:pPr>
            <w:r w:rsidRPr="00690E80">
              <w:rPr>
                <w:sz w:val="20"/>
                <w:szCs w:val="20"/>
              </w:rPr>
              <w:t xml:space="preserve">30 000 </w:t>
            </w:r>
          </w:p>
        </w:tc>
        <w:tc>
          <w:tcPr>
            <w:tcW w:w="1873" w:type="dxa"/>
          </w:tcPr>
          <w:p w:rsidR="00AF4449" w:rsidRPr="00690E80" w:rsidRDefault="00AF4449">
            <w:pPr>
              <w:pStyle w:val="Default"/>
              <w:rPr>
                <w:sz w:val="20"/>
                <w:szCs w:val="20"/>
              </w:rPr>
            </w:pPr>
            <w:r w:rsidRPr="00690E80">
              <w:rPr>
                <w:sz w:val="20"/>
                <w:szCs w:val="20"/>
              </w:rPr>
              <w:t xml:space="preserve">96 000 </w:t>
            </w:r>
          </w:p>
        </w:tc>
      </w:tr>
      <w:tr w:rsidR="00AF4449" w:rsidRPr="00690E80" w:rsidTr="00AF4449">
        <w:trPr>
          <w:trHeight w:val="109"/>
        </w:trPr>
        <w:tc>
          <w:tcPr>
            <w:tcW w:w="1872" w:type="dxa"/>
          </w:tcPr>
          <w:p w:rsidR="00AF4449" w:rsidRPr="00690E80" w:rsidRDefault="00AF4449">
            <w:pPr>
              <w:pStyle w:val="Default"/>
              <w:rPr>
                <w:sz w:val="20"/>
                <w:szCs w:val="20"/>
              </w:rPr>
            </w:pPr>
            <w:r w:rsidRPr="00690E80">
              <w:rPr>
                <w:sz w:val="20"/>
                <w:szCs w:val="20"/>
              </w:rPr>
              <w:t xml:space="preserve">III. </w:t>
            </w:r>
          </w:p>
        </w:tc>
        <w:tc>
          <w:tcPr>
            <w:tcW w:w="1872" w:type="dxa"/>
          </w:tcPr>
          <w:p w:rsidR="00AF4449" w:rsidRPr="00690E80" w:rsidRDefault="00AF4449">
            <w:pPr>
              <w:pStyle w:val="Default"/>
              <w:rPr>
                <w:sz w:val="20"/>
                <w:szCs w:val="20"/>
              </w:rPr>
            </w:pPr>
            <w:r w:rsidRPr="00690E80">
              <w:rPr>
                <w:sz w:val="20"/>
                <w:szCs w:val="20"/>
              </w:rPr>
              <w:t xml:space="preserve">25 000 </w:t>
            </w:r>
          </w:p>
        </w:tc>
        <w:tc>
          <w:tcPr>
            <w:tcW w:w="1872" w:type="dxa"/>
          </w:tcPr>
          <w:p w:rsidR="00AF4449" w:rsidRPr="00690E80" w:rsidRDefault="00AF4449">
            <w:pPr>
              <w:pStyle w:val="Default"/>
              <w:rPr>
                <w:sz w:val="20"/>
                <w:szCs w:val="20"/>
              </w:rPr>
            </w:pPr>
            <w:r w:rsidRPr="00690E80">
              <w:rPr>
                <w:sz w:val="20"/>
                <w:szCs w:val="20"/>
              </w:rPr>
              <w:t xml:space="preserve">43 000 </w:t>
            </w:r>
          </w:p>
        </w:tc>
        <w:tc>
          <w:tcPr>
            <w:tcW w:w="1872" w:type="dxa"/>
          </w:tcPr>
          <w:p w:rsidR="00AF4449" w:rsidRPr="00690E80" w:rsidRDefault="00AF4449">
            <w:pPr>
              <w:pStyle w:val="Default"/>
              <w:rPr>
                <w:sz w:val="20"/>
                <w:szCs w:val="20"/>
              </w:rPr>
            </w:pPr>
            <w:r w:rsidRPr="00690E80">
              <w:rPr>
                <w:sz w:val="20"/>
                <w:szCs w:val="20"/>
              </w:rPr>
              <w:t xml:space="preserve">31 000 </w:t>
            </w:r>
          </w:p>
        </w:tc>
        <w:tc>
          <w:tcPr>
            <w:tcW w:w="1873" w:type="dxa"/>
          </w:tcPr>
          <w:p w:rsidR="00AF4449" w:rsidRPr="00690E80" w:rsidRDefault="00AF4449">
            <w:pPr>
              <w:pStyle w:val="Default"/>
              <w:rPr>
                <w:sz w:val="20"/>
                <w:szCs w:val="20"/>
              </w:rPr>
            </w:pPr>
            <w:r w:rsidRPr="00690E80">
              <w:rPr>
                <w:sz w:val="20"/>
                <w:szCs w:val="20"/>
              </w:rPr>
              <w:t xml:space="preserve">99 000 </w:t>
            </w:r>
          </w:p>
        </w:tc>
      </w:tr>
      <w:tr w:rsidR="00AF4449" w:rsidRPr="00690E80" w:rsidTr="00AF4449">
        <w:trPr>
          <w:trHeight w:val="109"/>
        </w:trPr>
        <w:tc>
          <w:tcPr>
            <w:tcW w:w="1872" w:type="dxa"/>
          </w:tcPr>
          <w:p w:rsidR="00AF4449" w:rsidRPr="00690E80" w:rsidRDefault="00AF4449">
            <w:pPr>
              <w:pStyle w:val="Default"/>
              <w:rPr>
                <w:sz w:val="20"/>
                <w:szCs w:val="20"/>
              </w:rPr>
            </w:pPr>
            <w:r w:rsidRPr="00690E80">
              <w:rPr>
                <w:sz w:val="20"/>
                <w:szCs w:val="20"/>
              </w:rPr>
              <w:t xml:space="preserve">IV. </w:t>
            </w:r>
          </w:p>
        </w:tc>
        <w:tc>
          <w:tcPr>
            <w:tcW w:w="1872" w:type="dxa"/>
          </w:tcPr>
          <w:p w:rsidR="00AF4449" w:rsidRPr="00690E80" w:rsidRDefault="00AF4449">
            <w:pPr>
              <w:pStyle w:val="Default"/>
              <w:rPr>
                <w:sz w:val="20"/>
                <w:szCs w:val="20"/>
              </w:rPr>
            </w:pPr>
            <w:r w:rsidRPr="00690E80">
              <w:rPr>
                <w:sz w:val="20"/>
                <w:szCs w:val="20"/>
              </w:rPr>
              <w:t xml:space="preserve">24 000 </w:t>
            </w:r>
          </w:p>
        </w:tc>
        <w:tc>
          <w:tcPr>
            <w:tcW w:w="1872" w:type="dxa"/>
          </w:tcPr>
          <w:p w:rsidR="00AF4449" w:rsidRPr="00690E80" w:rsidRDefault="00AF4449">
            <w:pPr>
              <w:pStyle w:val="Default"/>
              <w:rPr>
                <w:sz w:val="20"/>
                <w:szCs w:val="20"/>
              </w:rPr>
            </w:pPr>
            <w:r w:rsidRPr="00690E80">
              <w:rPr>
                <w:sz w:val="20"/>
                <w:szCs w:val="20"/>
              </w:rPr>
              <w:t xml:space="preserve">38 000 </w:t>
            </w:r>
          </w:p>
        </w:tc>
        <w:tc>
          <w:tcPr>
            <w:tcW w:w="1872" w:type="dxa"/>
          </w:tcPr>
          <w:p w:rsidR="00AF4449" w:rsidRPr="00690E80" w:rsidRDefault="00AF4449">
            <w:pPr>
              <w:pStyle w:val="Default"/>
              <w:rPr>
                <w:sz w:val="20"/>
                <w:szCs w:val="20"/>
              </w:rPr>
            </w:pPr>
            <w:r w:rsidRPr="00690E80">
              <w:rPr>
                <w:sz w:val="20"/>
                <w:szCs w:val="20"/>
              </w:rPr>
              <w:t xml:space="preserve">29 000 </w:t>
            </w:r>
          </w:p>
        </w:tc>
        <w:tc>
          <w:tcPr>
            <w:tcW w:w="1873" w:type="dxa"/>
          </w:tcPr>
          <w:p w:rsidR="00AF4449" w:rsidRPr="00690E80" w:rsidRDefault="00AF4449">
            <w:pPr>
              <w:pStyle w:val="Default"/>
              <w:rPr>
                <w:sz w:val="20"/>
                <w:szCs w:val="20"/>
              </w:rPr>
            </w:pPr>
            <w:r w:rsidRPr="00690E80">
              <w:rPr>
                <w:sz w:val="20"/>
                <w:szCs w:val="20"/>
              </w:rPr>
              <w:t xml:space="preserve">91 000 </w:t>
            </w:r>
          </w:p>
        </w:tc>
      </w:tr>
      <w:tr w:rsidR="00AF4449" w:rsidRPr="00690E80" w:rsidTr="00AF4449">
        <w:trPr>
          <w:trHeight w:val="109"/>
        </w:trPr>
        <w:tc>
          <w:tcPr>
            <w:tcW w:w="1872" w:type="dxa"/>
          </w:tcPr>
          <w:p w:rsidR="00AF4449" w:rsidRPr="00690E80" w:rsidRDefault="00AF4449">
            <w:pPr>
              <w:pStyle w:val="Default"/>
              <w:rPr>
                <w:sz w:val="20"/>
                <w:szCs w:val="20"/>
              </w:rPr>
            </w:pPr>
            <w:r w:rsidRPr="00690E80">
              <w:rPr>
                <w:sz w:val="20"/>
                <w:szCs w:val="20"/>
              </w:rPr>
              <w:t xml:space="preserve">V. </w:t>
            </w:r>
          </w:p>
        </w:tc>
        <w:tc>
          <w:tcPr>
            <w:tcW w:w="1872" w:type="dxa"/>
          </w:tcPr>
          <w:p w:rsidR="00AF4449" w:rsidRPr="00690E80" w:rsidRDefault="00AF4449">
            <w:pPr>
              <w:pStyle w:val="Default"/>
              <w:rPr>
                <w:sz w:val="20"/>
                <w:szCs w:val="20"/>
              </w:rPr>
            </w:pPr>
            <w:r w:rsidRPr="00690E80">
              <w:rPr>
                <w:sz w:val="20"/>
                <w:szCs w:val="20"/>
              </w:rPr>
              <w:t xml:space="preserve">24 000 </w:t>
            </w:r>
          </w:p>
        </w:tc>
        <w:tc>
          <w:tcPr>
            <w:tcW w:w="1872" w:type="dxa"/>
          </w:tcPr>
          <w:p w:rsidR="00AF4449" w:rsidRPr="00690E80" w:rsidRDefault="00AF4449">
            <w:pPr>
              <w:pStyle w:val="Default"/>
              <w:rPr>
                <w:sz w:val="20"/>
                <w:szCs w:val="20"/>
              </w:rPr>
            </w:pPr>
            <w:r w:rsidRPr="00690E80">
              <w:rPr>
                <w:sz w:val="20"/>
                <w:szCs w:val="20"/>
              </w:rPr>
              <w:t xml:space="preserve">40 000 </w:t>
            </w:r>
          </w:p>
        </w:tc>
        <w:tc>
          <w:tcPr>
            <w:tcW w:w="1872" w:type="dxa"/>
          </w:tcPr>
          <w:p w:rsidR="00AF4449" w:rsidRPr="00690E80" w:rsidRDefault="00AF4449">
            <w:pPr>
              <w:pStyle w:val="Default"/>
              <w:rPr>
                <w:sz w:val="20"/>
                <w:szCs w:val="20"/>
              </w:rPr>
            </w:pPr>
            <w:r w:rsidRPr="00690E80">
              <w:rPr>
                <w:sz w:val="20"/>
                <w:szCs w:val="20"/>
              </w:rPr>
              <w:t xml:space="preserve">27 000 </w:t>
            </w:r>
          </w:p>
        </w:tc>
        <w:tc>
          <w:tcPr>
            <w:tcW w:w="1873" w:type="dxa"/>
          </w:tcPr>
          <w:p w:rsidR="00AF4449" w:rsidRPr="00690E80" w:rsidRDefault="00AF4449">
            <w:pPr>
              <w:pStyle w:val="Default"/>
              <w:rPr>
                <w:sz w:val="20"/>
                <w:szCs w:val="20"/>
              </w:rPr>
            </w:pPr>
            <w:r w:rsidRPr="00690E80">
              <w:rPr>
                <w:sz w:val="20"/>
                <w:szCs w:val="20"/>
              </w:rPr>
              <w:t xml:space="preserve">91 000 </w:t>
            </w:r>
          </w:p>
        </w:tc>
      </w:tr>
      <w:tr w:rsidR="00AF4449" w:rsidRPr="00690E80" w:rsidTr="00AF4449">
        <w:trPr>
          <w:trHeight w:val="109"/>
        </w:trPr>
        <w:tc>
          <w:tcPr>
            <w:tcW w:w="1872" w:type="dxa"/>
          </w:tcPr>
          <w:p w:rsidR="00AF4449" w:rsidRPr="00690E80" w:rsidRDefault="00AF4449">
            <w:pPr>
              <w:pStyle w:val="Default"/>
              <w:rPr>
                <w:sz w:val="20"/>
                <w:szCs w:val="20"/>
              </w:rPr>
            </w:pPr>
            <w:r w:rsidRPr="00690E80">
              <w:rPr>
                <w:sz w:val="20"/>
                <w:szCs w:val="20"/>
              </w:rPr>
              <w:t xml:space="preserve">VI. </w:t>
            </w:r>
          </w:p>
        </w:tc>
        <w:tc>
          <w:tcPr>
            <w:tcW w:w="1872" w:type="dxa"/>
          </w:tcPr>
          <w:p w:rsidR="00AF4449" w:rsidRPr="00690E80" w:rsidRDefault="00AF4449">
            <w:pPr>
              <w:pStyle w:val="Default"/>
              <w:rPr>
                <w:sz w:val="20"/>
                <w:szCs w:val="20"/>
              </w:rPr>
            </w:pPr>
            <w:r w:rsidRPr="00690E80">
              <w:rPr>
                <w:sz w:val="20"/>
                <w:szCs w:val="20"/>
              </w:rPr>
              <w:t xml:space="preserve">27 000 </w:t>
            </w:r>
          </w:p>
        </w:tc>
        <w:tc>
          <w:tcPr>
            <w:tcW w:w="1872" w:type="dxa"/>
          </w:tcPr>
          <w:p w:rsidR="00AF4449" w:rsidRPr="00690E80" w:rsidRDefault="00AF4449">
            <w:pPr>
              <w:pStyle w:val="Default"/>
              <w:rPr>
                <w:sz w:val="20"/>
                <w:szCs w:val="20"/>
              </w:rPr>
            </w:pPr>
            <w:r w:rsidRPr="00690E80">
              <w:rPr>
                <w:sz w:val="20"/>
                <w:szCs w:val="20"/>
              </w:rPr>
              <w:t xml:space="preserve">47 000 </w:t>
            </w:r>
          </w:p>
        </w:tc>
        <w:tc>
          <w:tcPr>
            <w:tcW w:w="1872" w:type="dxa"/>
          </w:tcPr>
          <w:p w:rsidR="00AF4449" w:rsidRPr="00690E80" w:rsidRDefault="00AF4449">
            <w:pPr>
              <w:pStyle w:val="Default"/>
              <w:rPr>
                <w:sz w:val="20"/>
                <w:szCs w:val="20"/>
              </w:rPr>
            </w:pPr>
            <w:r w:rsidRPr="00690E80">
              <w:rPr>
                <w:sz w:val="20"/>
                <w:szCs w:val="20"/>
              </w:rPr>
              <w:t xml:space="preserve">28 000 </w:t>
            </w:r>
          </w:p>
        </w:tc>
        <w:tc>
          <w:tcPr>
            <w:tcW w:w="1873" w:type="dxa"/>
          </w:tcPr>
          <w:p w:rsidR="00AF4449" w:rsidRPr="00690E80" w:rsidRDefault="00AF4449">
            <w:pPr>
              <w:pStyle w:val="Default"/>
              <w:rPr>
                <w:sz w:val="20"/>
                <w:szCs w:val="20"/>
              </w:rPr>
            </w:pPr>
            <w:r w:rsidRPr="00690E80">
              <w:rPr>
                <w:sz w:val="20"/>
                <w:szCs w:val="20"/>
              </w:rPr>
              <w:t xml:space="preserve">102 000 </w:t>
            </w:r>
          </w:p>
        </w:tc>
      </w:tr>
      <w:tr w:rsidR="00AF4449" w:rsidRPr="00690E80" w:rsidTr="00AF4449">
        <w:trPr>
          <w:trHeight w:val="109"/>
        </w:trPr>
        <w:tc>
          <w:tcPr>
            <w:tcW w:w="1872" w:type="dxa"/>
          </w:tcPr>
          <w:p w:rsidR="00AF4449" w:rsidRPr="00690E80" w:rsidRDefault="00AF4449">
            <w:pPr>
              <w:pStyle w:val="Default"/>
              <w:rPr>
                <w:sz w:val="20"/>
                <w:szCs w:val="20"/>
              </w:rPr>
            </w:pPr>
            <w:r w:rsidRPr="00690E80">
              <w:rPr>
                <w:sz w:val="20"/>
                <w:szCs w:val="20"/>
              </w:rPr>
              <w:t xml:space="preserve">VII. </w:t>
            </w:r>
          </w:p>
        </w:tc>
        <w:tc>
          <w:tcPr>
            <w:tcW w:w="1872" w:type="dxa"/>
          </w:tcPr>
          <w:p w:rsidR="00AF4449" w:rsidRPr="00690E80" w:rsidRDefault="00AF4449">
            <w:pPr>
              <w:pStyle w:val="Default"/>
              <w:rPr>
                <w:sz w:val="20"/>
                <w:szCs w:val="20"/>
              </w:rPr>
            </w:pPr>
            <w:r w:rsidRPr="00690E80">
              <w:rPr>
                <w:sz w:val="20"/>
                <w:szCs w:val="20"/>
              </w:rPr>
              <w:t xml:space="preserve">31 000 </w:t>
            </w:r>
          </w:p>
        </w:tc>
        <w:tc>
          <w:tcPr>
            <w:tcW w:w="1872" w:type="dxa"/>
          </w:tcPr>
          <w:p w:rsidR="00AF4449" w:rsidRPr="00690E80" w:rsidRDefault="00AF4449">
            <w:pPr>
              <w:pStyle w:val="Default"/>
              <w:rPr>
                <w:sz w:val="20"/>
                <w:szCs w:val="20"/>
              </w:rPr>
            </w:pPr>
            <w:r w:rsidRPr="00690E80">
              <w:rPr>
                <w:sz w:val="20"/>
                <w:szCs w:val="20"/>
              </w:rPr>
              <w:t xml:space="preserve">54 000 </w:t>
            </w:r>
          </w:p>
        </w:tc>
        <w:tc>
          <w:tcPr>
            <w:tcW w:w="1872" w:type="dxa"/>
          </w:tcPr>
          <w:p w:rsidR="00AF4449" w:rsidRPr="00690E80" w:rsidRDefault="00AF4449">
            <w:pPr>
              <w:pStyle w:val="Default"/>
              <w:rPr>
                <w:sz w:val="20"/>
                <w:szCs w:val="20"/>
              </w:rPr>
            </w:pPr>
            <w:r w:rsidRPr="00690E80">
              <w:rPr>
                <w:sz w:val="20"/>
                <w:szCs w:val="20"/>
              </w:rPr>
              <w:t xml:space="preserve">34 000 </w:t>
            </w:r>
          </w:p>
        </w:tc>
        <w:tc>
          <w:tcPr>
            <w:tcW w:w="1873" w:type="dxa"/>
          </w:tcPr>
          <w:p w:rsidR="00AF4449" w:rsidRPr="00690E80" w:rsidRDefault="00AF4449">
            <w:pPr>
              <w:pStyle w:val="Default"/>
              <w:rPr>
                <w:sz w:val="20"/>
                <w:szCs w:val="20"/>
              </w:rPr>
            </w:pPr>
            <w:r w:rsidRPr="00690E80">
              <w:rPr>
                <w:sz w:val="20"/>
                <w:szCs w:val="20"/>
              </w:rPr>
              <w:t xml:space="preserve">119 000 </w:t>
            </w:r>
          </w:p>
        </w:tc>
      </w:tr>
      <w:tr w:rsidR="00AF4449" w:rsidRPr="00690E80" w:rsidTr="00AF4449">
        <w:trPr>
          <w:trHeight w:val="109"/>
        </w:trPr>
        <w:tc>
          <w:tcPr>
            <w:tcW w:w="1872" w:type="dxa"/>
          </w:tcPr>
          <w:p w:rsidR="00AF4449" w:rsidRPr="00690E80" w:rsidRDefault="00AF4449">
            <w:pPr>
              <w:pStyle w:val="Default"/>
              <w:rPr>
                <w:sz w:val="20"/>
                <w:szCs w:val="20"/>
              </w:rPr>
            </w:pPr>
            <w:r w:rsidRPr="00690E80">
              <w:rPr>
                <w:sz w:val="20"/>
                <w:szCs w:val="20"/>
              </w:rPr>
              <w:t xml:space="preserve">VIII. </w:t>
            </w:r>
          </w:p>
        </w:tc>
        <w:tc>
          <w:tcPr>
            <w:tcW w:w="1872" w:type="dxa"/>
          </w:tcPr>
          <w:p w:rsidR="00AF4449" w:rsidRPr="00690E80" w:rsidRDefault="00AF4449">
            <w:pPr>
              <w:pStyle w:val="Default"/>
              <w:rPr>
                <w:sz w:val="20"/>
                <w:szCs w:val="20"/>
              </w:rPr>
            </w:pPr>
            <w:r w:rsidRPr="00690E80">
              <w:rPr>
                <w:sz w:val="20"/>
                <w:szCs w:val="20"/>
              </w:rPr>
              <w:t xml:space="preserve">31 000 </w:t>
            </w:r>
          </w:p>
        </w:tc>
        <w:tc>
          <w:tcPr>
            <w:tcW w:w="1872" w:type="dxa"/>
          </w:tcPr>
          <w:p w:rsidR="00AF4449" w:rsidRPr="00690E80" w:rsidRDefault="00AF4449">
            <w:pPr>
              <w:pStyle w:val="Default"/>
              <w:rPr>
                <w:sz w:val="20"/>
                <w:szCs w:val="20"/>
              </w:rPr>
            </w:pPr>
            <w:r w:rsidRPr="00690E80">
              <w:rPr>
                <w:sz w:val="20"/>
                <w:szCs w:val="20"/>
              </w:rPr>
              <w:t xml:space="preserve">54 000 </w:t>
            </w:r>
          </w:p>
        </w:tc>
        <w:tc>
          <w:tcPr>
            <w:tcW w:w="1872" w:type="dxa"/>
          </w:tcPr>
          <w:p w:rsidR="00AF4449" w:rsidRPr="00690E80" w:rsidRDefault="00AF4449">
            <w:pPr>
              <w:pStyle w:val="Default"/>
              <w:rPr>
                <w:sz w:val="20"/>
                <w:szCs w:val="20"/>
              </w:rPr>
            </w:pPr>
            <w:r w:rsidRPr="00690E80">
              <w:rPr>
                <w:sz w:val="20"/>
                <w:szCs w:val="20"/>
              </w:rPr>
              <w:t xml:space="preserve">34 000 </w:t>
            </w:r>
          </w:p>
        </w:tc>
        <w:tc>
          <w:tcPr>
            <w:tcW w:w="1873" w:type="dxa"/>
          </w:tcPr>
          <w:p w:rsidR="00AF4449" w:rsidRPr="00690E80" w:rsidRDefault="00AF4449">
            <w:pPr>
              <w:pStyle w:val="Default"/>
              <w:rPr>
                <w:sz w:val="20"/>
                <w:szCs w:val="20"/>
              </w:rPr>
            </w:pPr>
            <w:r w:rsidRPr="00690E80">
              <w:rPr>
                <w:sz w:val="20"/>
                <w:szCs w:val="20"/>
              </w:rPr>
              <w:t xml:space="preserve">119 000 </w:t>
            </w:r>
          </w:p>
        </w:tc>
      </w:tr>
      <w:tr w:rsidR="00AF4449" w:rsidRPr="00690E80" w:rsidTr="00AF4449">
        <w:trPr>
          <w:trHeight w:val="109"/>
        </w:trPr>
        <w:tc>
          <w:tcPr>
            <w:tcW w:w="1872" w:type="dxa"/>
          </w:tcPr>
          <w:p w:rsidR="00AF4449" w:rsidRPr="00690E80" w:rsidRDefault="00AF4449">
            <w:pPr>
              <w:pStyle w:val="Default"/>
              <w:rPr>
                <w:sz w:val="20"/>
                <w:szCs w:val="20"/>
              </w:rPr>
            </w:pPr>
            <w:r w:rsidRPr="00690E80">
              <w:rPr>
                <w:sz w:val="20"/>
                <w:szCs w:val="20"/>
              </w:rPr>
              <w:t xml:space="preserve">IX. </w:t>
            </w:r>
          </w:p>
        </w:tc>
        <w:tc>
          <w:tcPr>
            <w:tcW w:w="1872" w:type="dxa"/>
          </w:tcPr>
          <w:p w:rsidR="00AF4449" w:rsidRPr="00690E80" w:rsidRDefault="00AF4449">
            <w:pPr>
              <w:pStyle w:val="Default"/>
              <w:rPr>
                <w:sz w:val="20"/>
                <w:szCs w:val="20"/>
              </w:rPr>
            </w:pPr>
            <w:r w:rsidRPr="00690E80">
              <w:rPr>
                <w:sz w:val="20"/>
                <w:szCs w:val="20"/>
              </w:rPr>
              <w:t xml:space="preserve">25 000 </w:t>
            </w:r>
          </w:p>
        </w:tc>
        <w:tc>
          <w:tcPr>
            <w:tcW w:w="1872" w:type="dxa"/>
          </w:tcPr>
          <w:p w:rsidR="00AF4449" w:rsidRPr="00690E80" w:rsidRDefault="00AF4449">
            <w:pPr>
              <w:pStyle w:val="Default"/>
              <w:rPr>
                <w:sz w:val="20"/>
                <w:szCs w:val="20"/>
              </w:rPr>
            </w:pPr>
            <w:r w:rsidRPr="00690E80">
              <w:rPr>
                <w:sz w:val="20"/>
                <w:szCs w:val="20"/>
              </w:rPr>
              <w:t xml:space="preserve">44 000 </w:t>
            </w:r>
          </w:p>
        </w:tc>
        <w:tc>
          <w:tcPr>
            <w:tcW w:w="1872" w:type="dxa"/>
          </w:tcPr>
          <w:p w:rsidR="00AF4449" w:rsidRPr="00690E80" w:rsidRDefault="00AF4449">
            <w:pPr>
              <w:pStyle w:val="Default"/>
              <w:rPr>
                <w:sz w:val="20"/>
                <w:szCs w:val="20"/>
              </w:rPr>
            </w:pPr>
            <w:r w:rsidRPr="00690E80">
              <w:rPr>
                <w:sz w:val="20"/>
                <w:szCs w:val="20"/>
              </w:rPr>
              <w:t xml:space="preserve">28 000 </w:t>
            </w:r>
          </w:p>
        </w:tc>
        <w:tc>
          <w:tcPr>
            <w:tcW w:w="1873" w:type="dxa"/>
          </w:tcPr>
          <w:p w:rsidR="00AF4449" w:rsidRPr="00690E80" w:rsidRDefault="00AF4449">
            <w:pPr>
              <w:pStyle w:val="Default"/>
              <w:rPr>
                <w:sz w:val="20"/>
                <w:szCs w:val="20"/>
              </w:rPr>
            </w:pPr>
            <w:r w:rsidRPr="00690E80">
              <w:rPr>
                <w:sz w:val="20"/>
                <w:szCs w:val="20"/>
              </w:rPr>
              <w:t xml:space="preserve">97 000 </w:t>
            </w:r>
          </w:p>
        </w:tc>
      </w:tr>
      <w:tr w:rsidR="00AF4449" w:rsidRPr="00690E80" w:rsidTr="00AF4449">
        <w:trPr>
          <w:trHeight w:val="109"/>
        </w:trPr>
        <w:tc>
          <w:tcPr>
            <w:tcW w:w="1872" w:type="dxa"/>
            <w:tcBorders>
              <w:top w:val="single" w:sz="4" w:space="0" w:color="auto"/>
              <w:left w:val="single" w:sz="4" w:space="0" w:color="auto"/>
              <w:bottom w:val="single" w:sz="4" w:space="0" w:color="auto"/>
              <w:right w:val="single" w:sz="4" w:space="0" w:color="auto"/>
            </w:tcBorders>
          </w:tcPr>
          <w:p w:rsidR="00AF4449" w:rsidRPr="00690E80" w:rsidRDefault="00AF4449">
            <w:pPr>
              <w:pStyle w:val="Default"/>
              <w:rPr>
                <w:sz w:val="20"/>
                <w:szCs w:val="20"/>
              </w:rPr>
            </w:pPr>
            <w:r w:rsidRPr="00690E80">
              <w:rPr>
                <w:sz w:val="20"/>
                <w:szCs w:val="20"/>
              </w:rPr>
              <w:t xml:space="preserve">X. </w:t>
            </w:r>
          </w:p>
        </w:tc>
        <w:tc>
          <w:tcPr>
            <w:tcW w:w="1872" w:type="dxa"/>
            <w:tcBorders>
              <w:top w:val="single" w:sz="4" w:space="0" w:color="auto"/>
              <w:left w:val="single" w:sz="4" w:space="0" w:color="auto"/>
              <w:bottom w:val="single" w:sz="4" w:space="0" w:color="auto"/>
              <w:right w:val="single" w:sz="4" w:space="0" w:color="auto"/>
            </w:tcBorders>
          </w:tcPr>
          <w:p w:rsidR="00AF4449" w:rsidRPr="00690E80" w:rsidRDefault="00AF4449">
            <w:pPr>
              <w:pStyle w:val="Default"/>
              <w:rPr>
                <w:sz w:val="20"/>
                <w:szCs w:val="20"/>
              </w:rPr>
            </w:pPr>
            <w:r w:rsidRPr="00690E80">
              <w:rPr>
                <w:sz w:val="20"/>
                <w:szCs w:val="20"/>
              </w:rPr>
              <w:t xml:space="preserve">26 000 </w:t>
            </w:r>
          </w:p>
        </w:tc>
        <w:tc>
          <w:tcPr>
            <w:tcW w:w="1872" w:type="dxa"/>
            <w:tcBorders>
              <w:top w:val="single" w:sz="4" w:space="0" w:color="auto"/>
              <w:left w:val="single" w:sz="4" w:space="0" w:color="auto"/>
              <w:bottom w:val="single" w:sz="4" w:space="0" w:color="auto"/>
              <w:right w:val="single" w:sz="4" w:space="0" w:color="auto"/>
            </w:tcBorders>
          </w:tcPr>
          <w:p w:rsidR="00AF4449" w:rsidRPr="00690E80" w:rsidRDefault="00AF4449">
            <w:pPr>
              <w:pStyle w:val="Default"/>
              <w:rPr>
                <w:sz w:val="20"/>
                <w:szCs w:val="20"/>
              </w:rPr>
            </w:pPr>
            <w:r w:rsidRPr="00690E80">
              <w:rPr>
                <w:sz w:val="20"/>
                <w:szCs w:val="20"/>
              </w:rPr>
              <w:t xml:space="preserve">43 000 </w:t>
            </w:r>
          </w:p>
        </w:tc>
        <w:tc>
          <w:tcPr>
            <w:tcW w:w="1872" w:type="dxa"/>
            <w:tcBorders>
              <w:top w:val="single" w:sz="4" w:space="0" w:color="auto"/>
              <w:left w:val="single" w:sz="4" w:space="0" w:color="auto"/>
              <w:bottom w:val="single" w:sz="4" w:space="0" w:color="auto"/>
              <w:right w:val="single" w:sz="4" w:space="0" w:color="auto"/>
            </w:tcBorders>
          </w:tcPr>
          <w:p w:rsidR="00AF4449" w:rsidRPr="00690E80" w:rsidRDefault="00AF4449">
            <w:pPr>
              <w:pStyle w:val="Default"/>
              <w:rPr>
                <w:sz w:val="20"/>
                <w:szCs w:val="20"/>
              </w:rPr>
            </w:pPr>
            <w:r w:rsidRPr="00690E80">
              <w:rPr>
                <w:sz w:val="20"/>
                <w:szCs w:val="20"/>
              </w:rPr>
              <w:t xml:space="preserve">31 000 </w:t>
            </w:r>
          </w:p>
        </w:tc>
        <w:tc>
          <w:tcPr>
            <w:tcW w:w="1873" w:type="dxa"/>
            <w:tcBorders>
              <w:top w:val="single" w:sz="4" w:space="0" w:color="auto"/>
              <w:left w:val="single" w:sz="4" w:space="0" w:color="auto"/>
              <w:bottom w:val="single" w:sz="4" w:space="0" w:color="auto"/>
              <w:right w:val="single" w:sz="4" w:space="0" w:color="auto"/>
            </w:tcBorders>
          </w:tcPr>
          <w:p w:rsidR="00AF4449" w:rsidRPr="00690E80" w:rsidRDefault="00AF4449">
            <w:pPr>
              <w:pStyle w:val="Default"/>
              <w:rPr>
                <w:sz w:val="20"/>
                <w:szCs w:val="20"/>
              </w:rPr>
            </w:pPr>
            <w:r w:rsidRPr="00690E80">
              <w:rPr>
                <w:sz w:val="20"/>
                <w:szCs w:val="20"/>
              </w:rPr>
              <w:t xml:space="preserve">100 000 </w:t>
            </w:r>
          </w:p>
        </w:tc>
      </w:tr>
      <w:tr w:rsidR="00AF4449" w:rsidRPr="00690E80" w:rsidTr="00AF4449">
        <w:trPr>
          <w:trHeight w:val="109"/>
        </w:trPr>
        <w:tc>
          <w:tcPr>
            <w:tcW w:w="1872" w:type="dxa"/>
            <w:tcBorders>
              <w:top w:val="single" w:sz="4" w:space="0" w:color="auto"/>
              <w:left w:val="single" w:sz="4" w:space="0" w:color="auto"/>
              <w:bottom w:val="single" w:sz="4" w:space="0" w:color="auto"/>
              <w:right w:val="single" w:sz="4" w:space="0" w:color="auto"/>
            </w:tcBorders>
          </w:tcPr>
          <w:p w:rsidR="00AF4449" w:rsidRPr="00690E80" w:rsidRDefault="00AF4449">
            <w:pPr>
              <w:pStyle w:val="Default"/>
              <w:rPr>
                <w:sz w:val="20"/>
                <w:szCs w:val="20"/>
              </w:rPr>
            </w:pPr>
            <w:r w:rsidRPr="00690E80">
              <w:rPr>
                <w:sz w:val="20"/>
                <w:szCs w:val="20"/>
              </w:rPr>
              <w:t xml:space="preserve">XI. </w:t>
            </w:r>
          </w:p>
        </w:tc>
        <w:tc>
          <w:tcPr>
            <w:tcW w:w="1872" w:type="dxa"/>
            <w:tcBorders>
              <w:top w:val="single" w:sz="4" w:space="0" w:color="auto"/>
              <w:left w:val="single" w:sz="4" w:space="0" w:color="auto"/>
              <w:bottom w:val="single" w:sz="4" w:space="0" w:color="auto"/>
              <w:right w:val="single" w:sz="4" w:space="0" w:color="auto"/>
            </w:tcBorders>
          </w:tcPr>
          <w:p w:rsidR="00AF4449" w:rsidRPr="00690E80" w:rsidRDefault="00AF4449">
            <w:pPr>
              <w:pStyle w:val="Default"/>
              <w:rPr>
                <w:sz w:val="20"/>
                <w:szCs w:val="20"/>
              </w:rPr>
            </w:pPr>
            <w:r w:rsidRPr="00690E80">
              <w:rPr>
                <w:sz w:val="20"/>
                <w:szCs w:val="20"/>
              </w:rPr>
              <w:t xml:space="preserve">25 000 </w:t>
            </w:r>
          </w:p>
        </w:tc>
        <w:tc>
          <w:tcPr>
            <w:tcW w:w="1872" w:type="dxa"/>
            <w:tcBorders>
              <w:top w:val="single" w:sz="4" w:space="0" w:color="auto"/>
              <w:left w:val="single" w:sz="4" w:space="0" w:color="auto"/>
              <w:bottom w:val="single" w:sz="4" w:space="0" w:color="auto"/>
              <w:right w:val="single" w:sz="4" w:space="0" w:color="auto"/>
            </w:tcBorders>
          </w:tcPr>
          <w:p w:rsidR="00AF4449" w:rsidRPr="00690E80" w:rsidRDefault="00AF4449">
            <w:pPr>
              <w:pStyle w:val="Default"/>
              <w:rPr>
                <w:sz w:val="20"/>
                <w:szCs w:val="20"/>
              </w:rPr>
            </w:pPr>
            <w:r w:rsidRPr="00690E80">
              <w:rPr>
                <w:sz w:val="20"/>
                <w:szCs w:val="20"/>
              </w:rPr>
              <w:t xml:space="preserve">42 000 </w:t>
            </w:r>
          </w:p>
        </w:tc>
        <w:tc>
          <w:tcPr>
            <w:tcW w:w="1872" w:type="dxa"/>
            <w:tcBorders>
              <w:top w:val="single" w:sz="4" w:space="0" w:color="auto"/>
              <w:left w:val="single" w:sz="4" w:space="0" w:color="auto"/>
              <w:bottom w:val="single" w:sz="4" w:space="0" w:color="auto"/>
              <w:right w:val="single" w:sz="4" w:space="0" w:color="auto"/>
            </w:tcBorders>
          </w:tcPr>
          <w:p w:rsidR="00AF4449" w:rsidRPr="00690E80" w:rsidRDefault="00AF4449">
            <w:pPr>
              <w:pStyle w:val="Default"/>
              <w:rPr>
                <w:sz w:val="20"/>
                <w:szCs w:val="20"/>
              </w:rPr>
            </w:pPr>
            <w:r w:rsidRPr="00690E80">
              <w:rPr>
                <w:sz w:val="20"/>
                <w:szCs w:val="20"/>
              </w:rPr>
              <w:t xml:space="preserve">31 000 </w:t>
            </w:r>
          </w:p>
        </w:tc>
        <w:tc>
          <w:tcPr>
            <w:tcW w:w="1873" w:type="dxa"/>
            <w:tcBorders>
              <w:top w:val="single" w:sz="4" w:space="0" w:color="auto"/>
              <w:left w:val="single" w:sz="4" w:space="0" w:color="auto"/>
              <w:bottom w:val="single" w:sz="4" w:space="0" w:color="auto"/>
              <w:right w:val="single" w:sz="4" w:space="0" w:color="auto"/>
            </w:tcBorders>
          </w:tcPr>
          <w:p w:rsidR="00AF4449" w:rsidRPr="00690E80" w:rsidRDefault="00AF4449">
            <w:pPr>
              <w:pStyle w:val="Default"/>
              <w:rPr>
                <w:sz w:val="20"/>
                <w:szCs w:val="20"/>
              </w:rPr>
            </w:pPr>
            <w:r w:rsidRPr="00690E80">
              <w:rPr>
                <w:sz w:val="20"/>
                <w:szCs w:val="20"/>
              </w:rPr>
              <w:t xml:space="preserve">98 000 </w:t>
            </w:r>
          </w:p>
        </w:tc>
      </w:tr>
      <w:tr w:rsidR="00AF4449" w:rsidRPr="00690E80" w:rsidTr="00AF4449">
        <w:trPr>
          <w:trHeight w:val="109"/>
        </w:trPr>
        <w:tc>
          <w:tcPr>
            <w:tcW w:w="1872" w:type="dxa"/>
            <w:tcBorders>
              <w:top w:val="single" w:sz="4" w:space="0" w:color="auto"/>
              <w:left w:val="single" w:sz="4" w:space="0" w:color="auto"/>
              <w:bottom w:val="single" w:sz="4" w:space="0" w:color="auto"/>
              <w:right w:val="single" w:sz="4" w:space="0" w:color="auto"/>
            </w:tcBorders>
          </w:tcPr>
          <w:p w:rsidR="00AF4449" w:rsidRPr="00690E80" w:rsidRDefault="00AF4449">
            <w:pPr>
              <w:pStyle w:val="Default"/>
              <w:rPr>
                <w:sz w:val="20"/>
                <w:szCs w:val="20"/>
              </w:rPr>
            </w:pPr>
            <w:r w:rsidRPr="00690E80">
              <w:rPr>
                <w:sz w:val="20"/>
                <w:szCs w:val="20"/>
              </w:rPr>
              <w:t xml:space="preserve">XII. </w:t>
            </w:r>
          </w:p>
        </w:tc>
        <w:tc>
          <w:tcPr>
            <w:tcW w:w="1872" w:type="dxa"/>
            <w:tcBorders>
              <w:top w:val="single" w:sz="4" w:space="0" w:color="auto"/>
              <w:left w:val="single" w:sz="4" w:space="0" w:color="auto"/>
              <w:bottom w:val="single" w:sz="4" w:space="0" w:color="auto"/>
              <w:right w:val="single" w:sz="4" w:space="0" w:color="auto"/>
            </w:tcBorders>
          </w:tcPr>
          <w:p w:rsidR="00AF4449" w:rsidRPr="00690E80" w:rsidRDefault="00AF4449">
            <w:pPr>
              <w:pStyle w:val="Default"/>
              <w:rPr>
                <w:sz w:val="20"/>
                <w:szCs w:val="20"/>
              </w:rPr>
            </w:pPr>
            <w:r w:rsidRPr="00690E80">
              <w:rPr>
                <w:sz w:val="20"/>
                <w:szCs w:val="20"/>
              </w:rPr>
              <w:t xml:space="preserve">30 000 </w:t>
            </w:r>
          </w:p>
        </w:tc>
        <w:tc>
          <w:tcPr>
            <w:tcW w:w="1872" w:type="dxa"/>
            <w:tcBorders>
              <w:top w:val="single" w:sz="4" w:space="0" w:color="auto"/>
              <w:left w:val="single" w:sz="4" w:space="0" w:color="auto"/>
              <w:bottom w:val="single" w:sz="4" w:space="0" w:color="auto"/>
              <w:right w:val="single" w:sz="4" w:space="0" w:color="auto"/>
            </w:tcBorders>
          </w:tcPr>
          <w:p w:rsidR="00AF4449" w:rsidRPr="00690E80" w:rsidRDefault="00AF4449">
            <w:pPr>
              <w:pStyle w:val="Default"/>
              <w:rPr>
                <w:sz w:val="20"/>
                <w:szCs w:val="20"/>
              </w:rPr>
            </w:pPr>
            <w:r w:rsidRPr="00690E80">
              <w:rPr>
                <w:sz w:val="20"/>
                <w:szCs w:val="20"/>
              </w:rPr>
              <w:t xml:space="preserve">50 000 </w:t>
            </w:r>
          </w:p>
        </w:tc>
        <w:tc>
          <w:tcPr>
            <w:tcW w:w="1872" w:type="dxa"/>
            <w:tcBorders>
              <w:top w:val="single" w:sz="4" w:space="0" w:color="auto"/>
              <w:left w:val="single" w:sz="4" w:space="0" w:color="auto"/>
              <w:bottom w:val="single" w:sz="4" w:space="0" w:color="auto"/>
              <w:right w:val="single" w:sz="4" w:space="0" w:color="auto"/>
            </w:tcBorders>
          </w:tcPr>
          <w:p w:rsidR="00AF4449" w:rsidRPr="00690E80" w:rsidRDefault="00AF4449">
            <w:pPr>
              <w:pStyle w:val="Default"/>
              <w:rPr>
                <w:sz w:val="20"/>
                <w:szCs w:val="20"/>
              </w:rPr>
            </w:pPr>
            <w:r w:rsidRPr="00690E80">
              <w:rPr>
                <w:sz w:val="20"/>
                <w:szCs w:val="20"/>
              </w:rPr>
              <w:t xml:space="preserve">36 000 </w:t>
            </w:r>
          </w:p>
        </w:tc>
        <w:tc>
          <w:tcPr>
            <w:tcW w:w="1873" w:type="dxa"/>
            <w:tcBorders>
              <w:top w:val="single" w:sz="4" w:space="0" w:color="auto"/>
              <w:left w:val="single" w:sz="4" w:space="0" w:color="auto"/>
              <w:bottom w:val="single" w:sz="4" w:space="0" w:color="auto"/>
              <w:right w:val="single" w:sz="4" w:space="0" w:color="auto"/>
            </w:tcBorders>
          </w:tcPr>
          <w:p w:rsidR="00AF4449" w:rsidRPr="00690E80" w:rsidRDefault="00AF4449">
            <w:pPr>
              <w:pStyle w:val="Default"/>
              <w:rPr>
                <w:sz w:val="20"/>
                <w:szCs w:val="20"/>
              </w:rPr>
            </w:pPr>
            <w:r w:rsidRPr="00690E80">
              <w:rPr>
                <w:sz w:val="20"/>
                <w:szCs w:val="20"/>
              </w:rPr>
              <w:t xml:space="preserve">116 000 </w:t>
            </w:r>
          </w:p>
        </w:tc>
      </w:tr>
      <w:tr w:rsidR="00AF4449" w:rsidRPr="00690E80" w:rsidTr="00AF4449">
        <w:trPr>
          <w:trHeight w:val="109"/>
        </w:trPr>
        <w:tc>
          <w:tcPr>
            <w:tcW w:w="1872" w:type="dxa"/>
            <w:tcBorders>
              <w:top w:val="single" w:sz="4" w:space="0" w:color="auto"/>
              <w:left w:val="single" w:sz="4" w:space="0" w:color="auto"/>
              <w:bottom w:val="single" w:sz="4" w:space="0" w:color="auto"/>
              <w:right w:val="single" w:sz="4" w:space="0" w:color="auto"/>
            </w:tcBorders>
          </w:tcPr>
          <w:p w:rsidR="00AF4449" w:rsidRPr="00690E80" w:rsidRDefault="00AF4449">
            <w:pPr>
              <w:pStyle w:val="Default"/>
              <w:rPr>
                <w:sz w:val="20"/>
                <w:szCs w:val="20"/>
              </w:rPr>
            </w:pPr>
            <w:r w:rsidRPr="00690E80">
              <w:rPr>
                <w:sz w:val="20"/>
                <w:szCs w:val="20"/>
              </w:rPr>
              <w:t xml:space="preserve">Общо: </w:t>
            </w:r>
          </w:p>
        </w:tc>
        <w:tc>
          <w:tcPr>
            <w:tcW w:w="1872" w:type="dxa"/>
            <w:tcBorders>
              <w:top w:val="single" w:sz="4" w:space="0" w:color="auto"/>
              <w:left w:val="single" w:sz="4" w:space="0" w:color="auto"/>
              <w:bottom w:val="single" w:sz="4" w:space="0" w:color="auto"/>
              <w:right w:val="single" w:sz="4" w:space="0" w:color="auto"/>
            </w:tcBorders>
          </w:tcPr>
          <w:p w:rsidR="00AF4449" w:rsidRPr="00690E80" w:rsidRDefault="00AF4449">
            <w:pPr>
              <w:pStyle w:val="Default"/>
              <w:rPr>
                <w:sz w:val="20"/>
                <w:szCs w:val="20"/>
              </w:rPr>
            </w:pPr>
            <w:r w:rsidRPr="00690E80">
              <w:rPr>
                <w:sz w:val="20"/>
                <w:szCs w:val="20"/>
              </w:rPr>
              <w:t xml:space="preserve">323 000 </w:t>
            </w:r>
          </w:p>
        </w:tc>
        <w:tc>
          <w:tcPr>
            <w:tcW w:w="1872" w:type="dxa"/>
            <w:tcBorders>
              <w:top w:val="single" w:sz="4" w:space="0" w:color="auto"/>
              <w:left w:val="single" w:sz="4" w:space="0" w:color="auto"/>
              <w:bottom w:val="single" w:sz="4" w:space="0" w:color="auto"/>
              <w:right w:val="single" w:sz="4" w:space="0" w:color="auto"/>
            </w:tcBorders>
          </w:tcPr>
          <w:p w:rsidR="00AF4449" w:rsidRPr="00690E80" w:rsidRDefault="00AF4449">
            <w:pPr>
              <w:pStyle w:val="Default"/>
              <w:rPr>
                <w:sz w:val="20"/>
                <w:szCs w:val="20"/>
              </w:rPr>
            </w:pPr>
            <w:r w:rsidRPr="00690E80">
              <w:rPr>
                <w:sz w:val="20"/>
                <w:szCs w:val="20"/>
              </w:rPr>
              <w:t xml:space="preserve">546 000 </w:t>
            </w:r>
          </w:p>
        </w:tc>
        <w:tc>
          <w:tcPr>
            <w:tcW w:w="1872" w:type="dxa"/>
            <w:tcBorders>
              <w:top w:val="single" w:sz="4" w:space="0" w:color="auto"/>
              <w:left w:val="single" w:sz="4" w:space="0" w:color="auto"/>
              <w:bottom w:val="single" w:sz="4" w:space="0" w:color="auto"/>
              <w:right w:val="single" w:sz="4" w:space="0" w:color="auto"/>
            </w:tcBorders>
          </w:tcPr>
          <w:p w:rsidR="00AF4449" w:rsidRPr="00690E80" w:rsidRDefault="00AF4449">
            <w:pPr>
              <w:pStyle w:val="Default"/>
              <w:rPr>
                <w:sz w:val="20"/>
                <w:szCs w:val="20"/>
              </w:rPr>
            </w:pPr>
            <w:r w:rsidRPr="00690E80">
              <w:rPr>
                <w:sz w:val="20"/>
                <w:szCs w:val="20"/>
              </w:rPr>
              <w:t xml:space="preserve">374 000 </w:t>
            </w:r>
          </w:p>
        </w:tc>
        <w:tc>
          <w:tcPr>
            <w:tcW w:w="1873" w:type="dxa"/>
            <w:tcBorders>
              <w:top w:val="single" w:sz="4" w:space="0" w:color="auto"/>
              <w:left w:val="single" w:sz="4" w:space="0" w:color="auto"/>
              <w:bottom w:val="single" w:sz="4" w:space="0" w:color="auto"/>
              <w:right w:val="single" w:sz="4" w:space="0" w:color="auto"/>
            </w:tcBorders>
          </w:tcPr>
          <w:p w:rsidR="00AF4449" w:rsidRPr="00690E80" w:rsidRDefault="00AF4449">
            <w:pPr>
              <w:pStyle w:val="Default"/>
              <w:rPr>
                <w:sz w:val="20"/>
                <w:szCs w:val="20"/>
              </w:rPr>
            </w:pPr>
            <w:r w:rsidRPr="00690E80">
              <w:rPr>
                <w:sz w:val="20"/>
                <w:szCs w:val="20"/>
              </w:rPr>
              <w:t xml:space="preserve">1 243 000 </w:t>
            </w:r>
          </w:p>
        </w:tc>
      </w:tr>
    </w:tbl>
    <w:p w:rsidR="00AF4449" w:rsidRPr="00690E80" w:rsidRDefault="00AF4449" w:rsidP="00DD00EE">
      <w:pPr>
        <w:pStyle w:val="NoSpacing"/>
        <w:ind w:right="-284"/>
        <w:jc w:val="both"/>
        <w:rPr>
          <w:rFonts w:ascii="Times New Roman" w:hAnsi="Times New Roman" w:cs="Times New Roman"/>
          <w:u w:val="single"/>
        </w:rPr>
      </w:pPr>
    </w:p>
    <w:p w:rsidR="00AF4449" w:rsidRPr="00690E80" w:rsidRDefault="00AF4449" w:rsidP="00690E80">
      <w:pPr>
        <w:pStyle w:val="NoSpacing"/>
        <w:ind w:right="-284" w:firstLine="708"/>
        <w:jc w:val="both"/>
        <w:rPr>
          <w:rFonts w:ascii="Times New Roman" w:hAnsi="Times New Roman" w:cs="Times New Roman"/>
          <w:u w:val="single"/>
        </w:rPr>
      </w:pPr>
      <w:r w:rsidRPr="00690E80">
        <w:rPr>
          <w:rFonts w:ascii="Times New Roman" w:hAnsi="Times New Roman" w:cs="Times New Roman"/>
          <w:b/>
          <w:bCs/>
          <w:i/>
          <w:iCs/>
        </w:rPr>
        <w:t>Възложителят си запазва правото да не заявява част или цялото количество от посочената по – горе таблица вид ел.енергия, при отпаднала необходимост или промяна в технологията на работа. Възложителят може да заяви допълнително количество от даден вид ел.енергия, над обявеното в таблицата по-горе, като общата стойност не надхвърля стойността на договора.</w:t>
      </w:r>
    </w:p>
    <w:p w:rsidR="00AF4449" w:rsidRPr="00690E80" w:rsidRDefault="00AF4449" w:rsidP="00DD00EE">
      <w:pPr>
        <w:pStyle w:val="NoSpacing"/>
        <w:ind w:right="-284"/>
        <w:jc w:val="both"/>
        <w:rPr>
          <w:rFonts w:ascii="Times New Roman" w:hAnsi="Times New Roman" w:cs="Times New Roman"/>
          <w:u w:val="single"/>
        </w:rPr>
      </w:pPr>
    </w:p>
    <w:p w:rsidR="00462D0C" w:rsidRPr="00690E80" w:rsidRDefault="00B54C13" w:rsidP="00AF4449">
      <w:pPr>
        <w:pStyle w:val="NoSpacing"/>
        <w:ind w:right="-284" w:firstLine="708"/>
        <w:jc w:val="both"/>
        <w:rPr>
          <w:rFonts w:ascii="Times New Roman" w:hAnsi="Times New Roman" w:cs="Times New Roman"/>
        </w:rPr>
      </w:pPr>
      <w:r w:rsidRPr="00690E80">
        <w:rPr>
          <w:rFonts w:ascii="Times New Roman" w:hAnsi="Times New Roman" w:cs="Times New Roman"/>
          <w:u w:val="single"/>
        </w:rPr>
        <w:t>Планиране на количествата:</w:t>
      </w:r>
      <w:r w:rsidRPr="00690E80">
        <w:rPr>
          <w:rFonts w:ascii="Times New Roman" w:hAnsi="Times New Roman" w:cs="Times New Roman"/>
        </w:rPr>
        <w:t xml:space="preserve"> </w:t>
      </w:r>
      <w:r w:rsidR="00AF4449" w:rsidRPr="00690E80">
        <w:rPr>
          <w:rFonts w:ascii="Times New Roman" w:hAnsi="Times New Roman" w:cs="Times New Roman"/>
        </w:rPr>
        <w:t xml:space="preserve"> </w:t>
      </w:r>
    </w:p>
    <w:p w:rsidR="00AF4449" w:rsidRPr="00690E80" w:rsidRDefault="00AF4449" w:rsidP="00DD00EE">
      <w:pPr>
        <w:pStyle w:val="NoSpacing"/>
        <w:ind w:right="-284" w:firstLine="708"/>
        <w:jc w:val="both"/>
        <w:rPr>
          <w:rFonts w:ascii="Times New Roman" w:hAnsi="Times New Roman" w:cs="Times New Roman"/>
        </w:rPr>
      </w:pPr>
    </w:p>
    <w:p w:rsidR="00B54C13" w:rsidRPr="00690E80" w:rsidRDefault="00B54C13" w:rsidP="00DD00EE">
      <w:pPr>
        <w:pStyle w:val="NoSpacing"/>
        <w:ind w:right="-284" w:firstLine="708"/>
        <w:jc w:val="both"/>
        <w:rPr>
          <w:rFonts w:ascii="Times New Roman" w:hAnsi="Times New Roman" w:cs="Times New Roman"/>
        </w:rPr>
      </w:pPr>
      <w:r w:rsidRPr="00690E80">
        <w:rPr>
          <w:rFonts w:ascii="Times New Roman" w:hAnsi="Times New Roman" w:cs="Times New Roman"/>
        </w:rPr>
        <w:t>Изпълнителят ще изготвя почасов дневен график за доставка на електрическа енергия на възложителя. Този дневен график ще бъде общ вид на очаквания часови енергиен товар. Дневният график обхваща 24 часа, зап</w:t>
      </w:r>
      <w:r w:rsidR="0035071C" w:rsidRPr="00690E80">
        <w:rPr>
          <w:rFonts w:ascii="Times New Roman" w:hAnsi="Times New Roman" w:cs="Times New Roman"/>
        </w:rPr>
        <w:t xml:space="preserve">очвайки от 00:00 ч. до 24:00 ч. </w:t>
      </w:r>
      <w:r w:rsidRPr="00690E80">
        <w:rPr>
          <w:rFonts w:ascii="Times New Roman" w:hAnsi="Times New Roman" w:cs="Times New Roman"/>
        </w:rPr>
        <w:t>за съответния ден.</w:t>
      </w:r>
    </w:p>
    <w:p w:rsidR="00B54C13" w:rsidRPr="00690E80" w:rsidRDefault="00B54C13" w:rsidP="00DD00EE">
      <w:pPr>
        <w:pStyle w:val="NoSpacing"/>
        <w:ind w:right="-284" w:firstLine="708"/>
        <w:jc w:val="both"/>
        <w:rPr>
          <w:rFonts w:ascii="Times New Roman" w:hAnsi="Times New Roman" w:cs="Times New Roman"/>
        </w:rPr>
      </w:pPr>
      <w:r w:rsidRPr="00690E80">
        <w:rPr>
          <w:rFonts w:ascii="Times New Roman" w:hAnsi="Times New Roman" w:cs="Times New Roman"/>
        </w:rPr>
        <w:t>Почасовите дневни графици за доставка се изготвят до размера и съобразно с прогнозните помесечни количества енергия изготвени и планирани от Изпълнителя.</w:t>
      </w:r>
    </w:p>
    <w:p w:rsidR="00B54C13" w:rsidRPr="00690E80" w:rsidRDefault="00B54C13" w:rsidP="00DD00EE">
      <w:pPr>
        <w:pStyle w:val="NoSpacing"/>
        <w:ind w:right="-284" w:firstLine="708"/>
        <w:jc w:val="both"/>
        <w:rPr>
          <w:rFonts w:ascii="Times New Roman" w:hAnsi="Times New Roman" w:cs="Times New Roman"/>
        </w:rPr>
      </w:pPr>
      <w:r w:rsidRPr="00690E80">
        <w:rPr>
          <w:rFonts w:ascii="Times New Roman" w:hAnsi="Times New Roman" w:cs="Times New Roman"/>
        </w:rPr>
        <w:t>Изпълнителят изпраща почасовите дневни графици за доставка на ЕСО ЕАД, в съответствие с разпоредбите на ПТЕЕ.</w:t>
      </w:r>
    </w:p>
    <w:p w:rsidR="00603C46" w:rsidRPr="00690E80" w:rsidRDefault="00603C46" w:rsidP="00DD00EE">
      <w:pPr>
        <w:pStyle w:val="NoSpacing"/>
        <w:ind w:right="-284" w:firstLine="708"/>
        <w:jc w:val="both"/>
        <w:rPr>
          <w:rFonts w:ascii="Times New Roman" w:hAnsi="Times New Roman" w:cs="Times New Roman"/>
        </w:rPr>
      </w:pPr>
      <w:r w:rsidRPr="00690E80">
        <w:rPr>
          <w:rFonts w:ascii="Times New Roman" w:hAnsi="Times New Roman" w:cs="Times New Roman"/>
        </w:rPr>
        <w:t>В качеството си на координатор на стандартна балансираща група – да осигурява отговорността  по  балансиране,  като  урежда  отклоненията  от  заявените  количества електрическа енергия за всеки период на сетълмента в дневните графици за доставка  и тяхното  заплащане,  като  всички  разходи/</w:t>
      </w:r>
      <w:r w:rsidR="00462D0C" w:rsidRPr="00690E80">
        <w:rPr>
          <w:rFonts w:ascii="Times New Roman" w:hAnsi="Times New Roman" w:cs="Times New Roman"/>
        </w:rPr>
        <w:t xml:space="preserve"> </w:t>
      </w:r>
      <w:r w:rsidRPr="00690E80">
        <w:rPr>
          <w:rFonts w:ascii="Times New Roman" w:hAnsi="Times New Roman" w:cs="Times New Roman"/>
        </w:rPr>
        <w:t xml:space="preserve">приходи  по  балансирането  са  за  сметка  на </w:t>
      </w:r>
      <w:r w:rsidR="003866A7" w:rsidRPr="00690E80">
        <w:rPr>
          <w:rFonts w:ascii="Times New Roman" w:hAnsi="Times New Roman" w:cs="Times New Roman"/>
        </w:rPr>
        <w:t>Изпълнителя.</w:t>
      </w:r>
    </w:p>
    <w:p w:rsidR="00165EBD" w:rsidRPr="00690E80" w:rsidRDefault="00B54C13" w:rsidP="00DD00EE">
      <w:pPr>
        <w:pStyle w:val="NoSpacing"/>
        <w:ind w:right="-284" w:firstLine="708"/>
        <w:jc w:val="both"/>
        <w:rPr>
          <w:rFonts w:ascii="Times New Roman" w:hAnsi="Times New Roman" w:cs="Times New Roman"/>
          <w:b/>
          <w:lang w:val="en-US"/>
        </w:rPr>
      </w:pPr>
      <w:r w:rsidRPr="00690E80">
        <w:rPr>
          <w:rFonts w:ascii="Times New Roman" w:hAnsi="Times New Roman" w:cs="Times New Roman"/>
          <w:b/>
        </w:rPr>
        <w:t>Възложителят ще упълномощи изпълнителя да потвърждава графиците за доставка пред ЕСО ЕАД.</w:t>
      </w:r>
    </w:p>
    <w:p w:rsidR="009643CA" w:rsidRPr="00690E80" w:rsidRDefault="009643CA" w:rsidP="007F7199">
      <w:pPr>
        <w:pStyle w:val="NoSpacing"/>
        <w:ind w:right="-142"/>
        <w:jc w:val="both"/>
        <w:rPr>
          <w:rFonts w:ascii="Times New Roman" w:hAnsi="Times New Roman" w:cs="Times New Roman"/>
          <w:b/>
          <w:color w:val="FF0000"/>
        </w:rPr>
      </w:pPr>
    </w:p>
    <w:sectPr w:rsidR="009643CA" w:rsidRPr="00690E80" w:rsidSect="0035071C">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EE8" w:rsidRDefault="00AC7EE8" w:rsidP="008F5F10">
      <w:r>
        <w:separator/>
      </w:r>
    </w:p>
  </w:endnote>
  <w:endnote w:type="continuationSeparator" w:id="0">
    <w:p w:rsidR="00AC7EE8" w:rsidRDefault="00AC7EE8" w:rsidP="008F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EE8" w:rsidRDefault="00AC7EE8" w:rsidP="008F5F10">
      <w:r>
        <w:separator/>
      </w:r>
    </w:p>
  </w:footnote>
  <w:footnote w:type="continuationSeparator" w:id="0">
    <w:p w:rsidR="00AC7EE8" w:rsidRDefault="00AC7EE8" w:rsidP="008F5F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286F1C4"/>
    <w:lvl w:ilvl="0" w:tplc="FFFFFFFF">
      <w:start w:val="1"/>
      <w:numFmt w:val="bullet"/>
      <w:lvlText w:val="в"/>
      <w:lvlJc w:val="left"/>
    </w:lvl>
    <w:lvl w:ilvl="1" w:tplc="FFFFFFFF">
      <w:start w:val="1"/>
      <w:numFmt w:val="decimal"/>
      <w:lvlText w:val="%2."/>
      <w:lvlJc w:val="left"/>
      <w:rPr>
        <w:b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57E4CCAE"/>
    <w:lvl w:ilvl="0" w:tplc="FFFFFFFF">
      <w:start w:val="1"/>
      <w:numFmt w:val="bullet"/>
      <w:lvlText w:val="в"/>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1CF63654"/>
    <w:multiLevelType w:val="multilevel"/>
    <w:tmpl w:val="1FF0A49C"/>
    <w:lvl w:ilvl="0">
      <w:start w:val="1"/>
      <w:numFmt w:val="decimal"/>
      <w:lvlText w:val="%1."/>
      <w:lvlJc w:val="left"/>
      <w:pPr>
        <w:tabs>
          <w:tab w:val="num" w:pos="1408"/>
        </w:tabs>
        <w:ind w:left="1408" w:hanging="840"/>
      </w:pPr>
      <w:rPr>
        <w:rFonts w:hint="default"/>
      </w:rPr>
    </w:lvl>
    <w:lvl w:ilvl="1">
      <w:start w:val="1"/>
      <w:numFmt w:val="decimal"/>
      <w:isLgl/>
      <w:lvlText w:val="%1.%2."/>
      <w:lvlJc w:val="left"/>
      <w:pPr>
        <w:tabs>
          <w:tab w:val="num" w:pos="1245"/>
        </w:tabs>
        <w:ind w:left="1245" w:hanging="52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15:restartNumberingAfterBreak="0">
    <w:nsid w:val="78B209CD"/>
    <w:multiLevelType w:val="hybridMultilevel"/>
    <w:tmpl w:val="4E10419E"/>
    <w:lvl w:ilvl="0" w:tplc="D4207830">
      <w:start w:val="1"/>
      <w:numFmt w:val="decimal"/>
      <w:lvlText w:val="%1."/>
      <w:lvlJc w:val="left"/>
      <w:pPr>
        <w:ind w:left="360"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4" w15:restartNumberingAfterBreak="0">
    <w:nsid w:val="7A805E6D"/>
    <w:multiLevelType w:val="hybridMultilevel"/>
    <w:tmpl w:val="1994A586"/>
    <w:lvl w:ilvl="0" w:tplc="0402000B">
      <w:start w:val="1"/>
      <w:numFmt w:val="bullet"/>
      <w:lvlText w:val=""/>
      <w:lvlJc w:val="left"/>
      <w:pPr>
        <w:ind w:left="1571" w:hanging="360"/>
      </w:pPr>
      <w:rPr>
        <w:rFonts w:ascii="Wingdings" w:hAnsi="Wingdings" w:hint="default"/>
      </w:rPr>
    </w:lvl>
    <w:lvl w:ilvl="1" w:tplc="04020003">
      <w:start w:val="1"/>
      <w:numFmt w:val="bullet"/>
      <w:lvlText w:val="o"/>
      <w:lvlJc w:val="left"/>
      <w:pPr>
        <w:ind w:left="2291" w:hanging="360"/>
      </w:pPr>
      <w:rPr>
        <w:rFonts w:ascii="Courier New" w:hAnsi="Courier New" w:cs="Courier New" w:hint="default"/>
      </w:rPr>
    </w:lvl>
    <w:lvl w:ilvl="2" w:tplc="04020005">
      <w:start w:val="1"/>
      <w:numFmt w:val="bullet"/>
      <w:lvlText w:val=""/>
      <w:lvlJc w:val="left"/>
      <w:pPr>
        <w:ind w:left="3011" w:hanging="360"/>
      </w:pPr>
      <w:rPr>
        <w:rFonts w:ascii="Wingdings" w:hAnsi="Wingdings" w:hint="default"/>
      </w:rPr>
    </w:lvl>
    <w:lvl w:ilvl="3" w:tplc="04020001">
      <w:start w:val="1"/>
      <w:numFmt w:val="bullet"/>
      <w:lvlText w:val=""/>
      <w:lvlJc w:val="left"/>
      <w:pPr>
        <w:ind w:left="3731" w:hanging="360"/>
      </w:pPr>
      <w:rPr>
        <w:rFonts w:ascii="Symbol" w:hAnsi="Symbol" w:hint="default"/>
      </w:rPr>
    </w:lvl>
    <w:lvl w:ilvl="4" w:tplc="04020003">
      <w:start w:val="1"/>
      <w:numFmt w:val="bullet"/>
      <w:lvlText w:val="o"/>
      <w:lvlJc w:val="left"/>
      <w:pPr>
        <w:ind w:left="4451" w:hanging="360"/>
      </w:pPr>
      <w:rPr>
        <w:rFonts w:ascii="Courier New" w:hAnsi="Courier New" w:cs="Courier New" w:hint="default"/>
      </w:rPr>
    </w:lvl>
    <w:lvl w:ilvl="5" w:tplc="04020005">
      <w:start w:val="1"/>
      <w:numFmt w:val="bullet"/>
      <w:lvlText w:val=""/>
      <w:lvlJc w:val="left"/>
      <w:pPr>
        <w:ind w:left="5171" w:hanging="360"/>
      </w:pPr>
      <w:rPr>
        <w:rFonts w:ascii="Wingdings" w:hAnsi="Wingdings" w:hint="default"/>
      </w:rPr>
    </w:lvl>
    <w:lvl w:ilvl="6" w:tplc="04020001">
      <w:start w:val="1"/>
      <w:numFmt w:val="bullet"/>
      <w:lvlText w:val=""/>
      <w:lvlJc w:val="left"/>
      <w:pPr>
        <w:ind w:left="5891" w:hanging="360"/>
      </w:pPr>
      <w:rPr>
        <w:rFonts w:ascii="Symbol" w:hAnsi="Symbol" w:hint="default"/>
      </w:rPr>
    </w:lvl>
    <w:lvl w:ilvl="7" w:tplc="04020003">
      <w:start w:val="1"/>
      <w:numFmt w:val="bullet"/>
      <w:lvlText w:val="o"/>
      <w:lvlJc w:val="left"/>
      <w:pPr>
        <w:ind w:left="6611" w:hanging="360"/>
      </w:pPr>
      <w:rPr>
        <w:rFonts w:ascii="Courier New" w:hAnsi="Courier New" w:cs="Courier New" w:hint="default"/>
      </w:rPr>
    </w:lvl>
    <w:lvl w:ilvl="8" w:tplc="04020005">
      <w:start w:val="1"/>
      <w:numFmt w:val="bullet"/>
      <w:lvlText w:val=""/>
      <w:lvlJc w:val="left"/>
      <w:pPr>
        <w:ind w:left="7331"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AF"/>
    <w:rsid w:val="0003169F"/>
    <w:rsid w:val="00042068"/>
    <w:rsid w:val="000545A2"/>
    <w:rsid w:val="00063FCF"/>
    <w:rsid w:val="000771ED"/>
    <w:rsid w:val="00085FCD"/>
    <w:rsid w:val="000A3863"/>
    <w:rsid w:val="000B418B"/>
    <w:rsid w:val="000B6637"/>
    <w:rsid w:val="000B6F7A"/>
    <w:rsid w:val="000C072F"/>
    <w:rsid w:val="000F6F4C"/>
    <w:rsid w:val="00100CF3"/>
    <w:rsid w:val="001017E3"/>
    <w:rsid w:val="00136A68"/>
    <w:rsid w:val="00143B9C"/>
    <w:rsid w:val="001576EE"/>
    <w:rsid w:val="00164ADD"/>
    <w:rsid w:val="00165EBD"/>
    <w:rsid w:val="00175265"/>
    <w:rsid w:val="001936E6"/>
    <w:rsid w:val="00193D00"/>
    <w:rsid w:val="001A0C1D"/>
    <w:rsid w:val="001A0FED"/>
    <w:rsid w:val="001A1085"/>
    <w:rsid w:val="001E0034"/>
    <w:rsid w:val="001E71E2"/>
    <w:rsid w:val="001F54CF"/>
    <w:rsid w:val="001F71CD"/>
    <w:rsid w:val="002007E0"/>
    <w:rsid w:val="00211B1A"/>
    <w:rsid w:val="00223387"/>
    <w:rsid w:val="00224A2F"/>
    <w:rsid w:val="00225B90"/>
    <w:rsid w:val="00244A70"/>
    <w:rsid w:val="00265EB4"/>
    <w:rsid w:val="002B7763"/>
    <w:rsid w:val="002D242B"/>
    <w:rsid w:val="002F0556"/>
    <w:rsid w:val="00305715"/>
    <w:rsid w:val="003232A1"/>
    <w:rsid w:val="00331594"/>
    <w:rsid w:val="00332DAF"/>
    <w:rsid w:val="00343392"/>
    <w:rsid w:val="0035071C"/>
    <w:rsid w:val="00351C2F"/>
    <w:rsid w:val="00354713"/>
    <w:rsid w:val="003866A7"/>
    <w:rsid w:val="003910CC"/>
    <w:rsid w:val="003C004E"/>
    <w:rsid w:val="003C252B"/>
    <w:rsid w:val="003C7E12"/>
    <w:rsid w:val="003D3788"/>
    <w:rsid w:val="003D535A"/>
    <w:rsid w:val="004254F3"/>
    <w:rsid w:val="00425DC7"/>
    <w:rsid w:val="004318D6"/>
    <w:rsid w:val="00451730"/>
    <w:rsid w:val="0045227B"/>
    <w:rsid w:val="004548B7"/>
    <w:rsid w:val="00462D0C"/>
    <w:rsid w:val="00467467"/>
    <w:rsid w:val="004908EF"/>
    <w:rsid w:val="00495261"/>
    <w:rsid w:val="00495470"/>
    <w:rsid w:val="004A38A5"/>
    <w:rsid w:val="004E4BD8"/>
    <w:rsid w:val="00512806"/>
    <w:rsid w:val="00550CC0"/>
    <w:rsid w:val="0056640D"/>
    <w:rsid w:val="0057152C"/>
    <w:rsid w:val="00583D0A"/>
    <w:rsid w:val="0058631F"/>
    <w:rsid w:val="00596098"/>
    <w:rsid w:val="005974A5"/>
    <w:rsid w:val="005A769C"/>
    <w:rsid w:val="005C5A93"/>
    <w:rsid w:val="005D7025"/>
    <w:rsid w:val="005E01A7"/>
    <w:rsid w:val="005E4F4E"/>
    <w:rsid w:val="00603C46"/>
    <w:rsid w:val="00613E50"/>
    <w:rsid w:val="0063386E"/>
    <w:rsid w:val="00690E80"/>
    <w:rsid w:val="006A5956"/>
    <w:rsid w:val="006C0C48"/>
    <w:rsid w:val="006C4151"/>
    <w:rsid w:val="006D050B"/>
    <w:rsid w:val="006D2DCE"/>
    <w:rsid w:val="006D38A1"/>
    <w:rsid w:val="00731B51"/>
    <w:rsid w:val="00737296"/>
    <w:rsid w:val="00743CA6"/>
    <w:rsid w:val="00743EF7"/>
    <w:rsid w:val="0075155A"/>
    <w:rsid w:val="0076181A"/>
    <w:rsid w:val="00761DC8"/>
    <w:rsid w:val="007667FA"/>
    <w:rsid w:val="007B2B27"/>
    <w:rsid w:val="007D7B92"/>
    <w:rsid w:val="007E5F4F"/>
    <w:rsid w:val="007E7442"/>
    <w:rsid w:val="007F7199"/>
    <w:rsid w:val="00804A16"/>
    <w:rsid w:val="00806959"/>
    <w:rsid w:val="00813D41"/>
    <w:rsid w:val="0082598E"/>
    <w:rsid w:val="008805BD"/>
    <w:rsid w:val="00884745"/>
    <w:rsid w:val="00885490"/>
    <w:rsid w:val="008B12C7"/>
    <w:rsid w:val="008B3F69"/>
    <w:rsid w:val="008B7D63"/>
    <w:rsid w:val="008C50D3"/>
    <w:rsid w:val="008D0103"/>
    <w:rsid w:val="008D3112"/>
    <w:rsid w:val="008D6CEC"/>
    <w:rsid w:val="008F0055"/>
    <w:rsid w:val="008F1D1B"/>
    <w:rsid w:val="008F5F10"/>
    <w:rsid w:val="009144F0"/>
    <w:rsid w:val="00922F67"/>
    <w:rsid w:val="00932B02"/>
    <w:rsid w:val="009643CA"/>
    <w:rsid w:val="00974334"/>
    <w:rsid w:val="00980F08"/>
    <w:rsid w:val="00984850"/>
    <w:rsid w:val="00990461"/>
    <w:rsid w:val="009929C7"/>
    <w:rsid w:val="009950D5"/>
    <w:rsid w:val="009A45FA"/>
    <w:rsid w:val="009C3D93"/>
    <w:rsid w:val="009C759C"/>
    <w:rsid w:val="009D32F6"/>
    <w:rsid w:val="009D6269"/>
    <w:rsid w:val="009F3869"/>
    <w:rsid w:val="00A27166"/>
    <w:rsid w:val="00A31CDA"/>
    <w:rsid w:val="00A37FC3"/>
    <w:rsid w:val="00A44E08"/>
    <w:rsid w:val="00A56528"/>
    <w:rsid w:val="00A65BEC"/>
    <w:rsid w:val="00A70389"/>
    <w:rsid w:val="00A733EE"/>
    <w:rsid w:val="00AB7335"/>
    <w:rsid w:val="00AC13E7"/>
    <w:rsid w:val="00AC35B7"/>
    <w:rsid w:val="00AC7EE8"/>
    <w:rsid w:val="00AD3D8F"/>
    <w:rsid w:val="00AE08B2"/>
    <w:rsid w:val="00AF4449"/>
    <w:rsid w:val="00AF5CA3"/>
    <w:rsid w:val="00B143DB"/>
    <w:rsid w:val="00B54C13"/>
    <w:rsid w:val="00B6379B"/>
    <w:rsid w:val="00B64A02"/>
    <w:rsid w:val="00B6513B"/>
    <w:rsid w:val="00BA3F2C"/>
    <w:rsid w:val="00BA7467"/>
    <w:rsid w:val="00BB4374"/>
    <w:rsid w:val="00BB587A"/>
    <w:rsid w:val="00BC7016"/>
    <w:rsid w:val="00BD5CA7"/>
    <w:rsid w:val="00BE1549"/>
    <w:rsid w:val="00C04745"/>
    <w:rsid w:val="00C1663F"/>
    <w:rsid w:val="00C16868"/>
    <w:rsid w:val="00C23282"/>
    <w:rsid w:val="00C40F6B"/>
    <w:rsid w:val="00C60F22"/>
    <w:rsid w:val="00C70578"/>
    <w:rsid w:val="00C777E6"/>
    <w:rsid w:val="00CA7B01"/>
    <w:rsid w:val="00CB3D2F"/>
    <w:rsid w:val="00CB65DA"/>
    <w:rsid w:val="00CE261F"/>
    <w:rsid w:val="00D00BAB"/>
    <w:rsid w:val="00D047FA"/>
    <w:rsid w:val="00D215AA"/>
    <w:rsid w:val="00D250BF"/>
    <w:rsid w:val="00D5402F"/>
    <w:rsid w:val="00D67817"/>
    <w:rsid w:val="00D76A50"/>
    <w:rsid w:val="00DA5A4F"/>
    <w:rsid w:val="00DA663B"/>
    <w:rsid w:val="00DB4701"/>
    <w:rsid w:val="00DB6A74"/>
    <w:rsid w:val="00DC0A9B"/>
    <w:rsid w:val="00DD00EE"/>
    <w:rsid w:val="00DE2A35"/>
    <w:rsid w:val="00DE44F3"/>
    <w:rsid w:val="00DF7490"/>
    <w:rsid w:val="00E075A5"/>
    <w:rsid w:val="00E33BA1"/>
    <w:rsid w:val="00E42BDD"/>
    <w:rsid w:val="00E5218B"/>
    <w:rsid w:val="00E83CAF"/>
    <w:rsid w:val="00E91D6E"/>
    <w:rsid w:val="00EB2A59"/>
    <w:rsid w:val="00EC4D53"/>
    <w:rsid w:val="00ED1D1E"/>
    <w:rsid w:val="00ED4307"/>
    <w:rsid w:val="00F00553"/>
    <w:rsid w:val="00F019BE"/>
    <w:rsid w:val="00F020A8"/>
    <w:rsid w:val="00F20502"/>
    <w:rsid w:val="00F25206"/>
    <w:rsid w:val="00F41399"/>
    <w:rsid w:val="00F425DB"/>
    <w:rsid w:val="00F42EDF"/>
    <w:rsid w:val="00F43E4B"/>
    <w:rsid w:val="00F55A46"/>
    <w:rsid w:val="00F639FA"/>
    <w:rsid w:val="00F720A2"/>
    <w:rsid w:val="00F76186"/>
    <w:rsid w:val="00FB121B"/>
    <w:rsid w:val="00FB39D8"/>
    <w:rsid w:val="00FB5460"/>
    <w:rsid w:val="00FD0DBE"/>
    <w:rsid w:val="00FD4A29"/>
    <w:rsid w:val="00FD4BF9"/>
    <w:rsid w:val="00FF0E08"/>
    <w:rsid w:val="00FF5C8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BC2CC"/>
  <w15:docId w15:val="{3E3033C5-943E-4877-B289-FB88133C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CAF"/>
    <w:pPr>
      <w:spacing w:after="0" w:line="240" w:lineRule="auto"/>
    </w:pPr>
    <w:rPr>
      <w:rFonts w:ascii="Calibri" w:eastAsia="Calibri" w:hAnsi="Calibri" w:cs="Arial"/>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CAF"/>
    <w:pPr>
      <w:ind w:left="708"/>
    </w:pPr>
    <w:rPr>
      <w:rFonts w:ascii="Times New Roman" w:hAnsi="Times New Roman" w:cs="Times New Roman"/>
      <w:sz w:val="24"/>
      <w:szCs w:val="24"/>
    </w:rPr>
  </w:style>
  <w:style w:type="paragraph" w:styleId="Header">
    <w:name w:val="header"/>
    <w:basedOn w:val="Normal"/>
    <w:link w:val="HeaderChar"/>
    <w:uiPriority w:val="99"/>
    <w:unhideWhenUsed/>
    <w:rsid w:val="008F5F10"/>
    <w:pPr>
      <w:tabs>
        <w:tab w:val="center" w:pos="4536"/>
        <w:tab w:val="right" w:pos="9072"/>
      </w:tabs>
    </w:pPr>
  </w:style>
  <w:style w:type="character" w:customStyle="1" w:styleId="HeaderChar">
    <w:name w:val="Header Char"/>
    <w:basedOn w:val="DefaultParagraphFont"/>
    <w:link w:val="Header"/>
    <w:uiPriority w:val="99"/>
    <w:rsid w:val="008F5F10"/>
    <w:rPr>
      <w:rFonts w:ascii="Calibri" w:eastAsia="Calibri" w:hAnsi="Calibri" w:cs="Arial"/>
      <w:sz w:val="20"/>
      <w:szCs w:val="20"/>
      <w:lang w:eastAsia="bg-BG"/>
    </w:rPr>
  </w:style>
  <w:style w:type="paragraph" w:styleId="Footer">
    <w:name w:val="footer"/>
    <w:basedOn w:val="Normal"/>
    <w:link w:val="FooterChar"/>
    <w:uiPriority w:val="99"/>
    <w:unhideWhenUsed/>
    <w:rsid w:val="008F5F10"/>
    <w:pPr>
      <w:tabs>
        <w:tab w:val="center" w:pos="4536"/>
        <w:tab w:val="right" w:pos="9072"/>
      </w:tabs>
    </w:pPr>
  </w:style>
  <w:style w:type="character" w:customStyle="1" w:styleId="FooterChar">
    <w:name w:val="Footer Char"/>
    <w:basedOn w:val="DefaultParagraphFont"/>
    <w:link w:val="Footer"/>
    <w:uiPriority w:val="99"/>
    <w:rsid w:val="008F5F10"/>
    <w:rPr>
      <w:rFonts w:ascii="Calibri" w:eastAsia="Calibri" w:hAnsi="Calibri" w:cs="Arial"/>
      <w:sz w:val="20"/>
      <w:szCs w:val="20"/>
      <w:lang w:eastAsia="bg-BG"/>
    </w:rPr>
  </w:style>
  <w:style w:type="paragraph" w:customStyle="1" w:styleId="CharCharCharCharCharCharCharCharCharCharCharChar1Char">
    <w:name w:val="Char Char Char Char Char Char Char Char Char Char Char Char1 Char"/>
    <w:basedOn w:val="Normal"/>
    <w:rsid w:val="00FF5C8C"/>
    <w:pPr>
      <w:tabs>
        <w:tab w:val="left" w:pos="709"/>
      </w:tabs>
    </w:pPr>
    <w:rPr>
      <w:rFonts w:ascii="Tahoma" w:eastAsia="Times New Roman" w:hAnsi="Tahoma" w:cs="Times New Roman"/>
      <w:sz w:val="24"/>
      <w:szCs w:val="24"/>
      <w:lang w:val="pl-PL" w:eastAsia="pl-PL"/>
    </w:rPr>
  </w:style>
  <w:style w:type="character" w:customStyle="1" w:styleId="CharCharCharCharCharCharChar">
    <w:name w:val="Char Char Char Знак Знак Char Char Char Char"/>
    <w:link w:val="CharCharCharCharCharChar"/>
    <w:uiPriority w:val="99"/>
    <w:locked/>
    <w:rsid w:val="00FF5C8C"/>
    <w:rPr>
      <w:rFonts w:ascii="Tahoma" w:hAnsi="Tahoma" w:cs="Tahoma"/>
      <w:sz w:val="24"/>
      <w:szCs w:val="24"/>
      <w:lang w:val="pl-PL" w:eastAsia="pl-PL"/>
    </w:rPr>
  </w:style>
  <w:style w:type="paragraph" w:customStyle="1" w:styleId="CharCharCharCharCharChar">
    <w:name w:val="Char Char Char Знак Знак Char Char Char"/>
    <w:basedOn w:val="Normal"/>
    <w:link w:val="CharCharCharCharCharCharChar"/>
    <w:uiPriority w:val="99"/>
    <w:rsid w:val="00FF5C8C"/>
    <w:pPr>
      <w:tabs>
        <w:tab w:val="left" w:pos="709"/>
      </w:tabs>
    </w:pPr>
    <w:rPr>
      <w:rFonts w:ascii="Tahoma" w:eastAsiaTheme="minorHAnsi" w:hAnsi="Tahoma" w:cs="Tahoma"/>
      <w:sz w:val="24"/>
      <w:szCs w:val="24"/>
      <w:lang w:val="pl-PL" w:eastAsia="pl-PL"/>
    </w:rPr>
  </w:style>
  <w:style w:type="character" w:customStyle="1" w:styleId="BodyText1">
    <w:name w:val="Body Text1"/>
    <w:rsid w:val="00FF5C8C"/>
    <w:rPr>
      <w:rFonts w:ascii="Times New Roman" w:hAnsi="Times New Roman"/>
      <w:sz w:val="24"/>
    </w:rPr>
  </w:style>
  <w:style w:type="paragraph" w:styleId="NoSpacing">
    <w:name w:val="No Spacing"/>
    <w:uiPriority w:val="1"/>
    <w:qFormat/>
    <w:rsid w:val="00F76186"/>
    <w:pPr>
      <w:spacing w:after="0" w:line="240" w:lineRule="auto"/>
    </w:pPr>
    <w:rPr>
      <w:rFonts w:ascii="Calibri" w:eastAsia="Calibri" w:hAnsi="Calibri" w:cs="Arial"/>
      <w:sz w:val="20"/>
      <w:szCs w:val="20"/>
      <w:lang w:eastAsia="bg-BG"/>
    </w:rPr>
  </w:style>
  <w:style w:type="character" w:customStyle="1" w:styleId="BalloonTextChar">
    <w:name w:val="Balloon Text Char"/>
    <w:basedOn w:val="DefaultParagraphFont"/>
    <w:link w:val="BalloonText"/>
    <w:uiPriority w:val="99"/>
    <w:semiHidden/>
    <w:rsid w:val="008805BD"/>
    <w:rPr>
      <w:rFonts w:ascii="Tahoma" w:eastAsia="Calibri" w:hAnsi="Tahoma" w:cs="Tahoma"/>
      <w:sz w:val="16"/>
      <w:szCs w:val="16"/>
      <w:lang w:eastAsia="bg-BG"/>
    </w:rPr>
  </w:style>
  <w:style w:type="paragraph" w:styleId="BalloonText">
    <w:name w:val="Balloon Text"/>
    <w:basedOn w:val="Normal"/>
    <w:link w:val="BalloonTextChar"/>
    <w:uiPriority w:val="99"/>
    <w:semiHidden/>
    <w:unhideWhenUsed/>
    <w:rsid w:val="008805BD"/>
    <w:rPr>
      <w:rFonts w:ascii="Tahoma" w:hAnsi="Tahoma" w:cs="Tahoma"/>
      <w:sz w:val="16"/>
      <w:szCs w:val="16"/>
    </w:rPr>
  </w:style>
  <w:style w:type="paragraph" w:customStyle="1" w:styleId="xl65">
    <w:name w:val="xl65"/>
    <w:basedOn w:val="Normal"/>
    <w:rsid w:val="008805BD"/>
    <w:pPr>
      <w:spacing w:before="100" w:beforeAutospacing="1" w:after="100" w:afterAutospacing="1"/>
      <w:jc w:val="center"/>
    </w:pPr>
    <w:rPr>
      <w:rFonts w:ascii="Times New Roman" w:eastAsia="Times New Roman" w:hAnsi="Times New Roman" w:cs="Times New Roman"/>
      <w:sz w:val="24"/>
      <w:szCs w:val="24"/>
    </w:rPr>
  </w:style>
  <w:style w:type="paragraph" w:customStyle="1" w:styleId="xl66">
    <w:name w:val="xl66"/>
    <w:basedOn w:val="Normal"/>
    <w:rsid w:val="008805BD"/>
    <w:pPr>
      <w:spacing w:before="100" w:beforeAutospacing="1" w:after="100" w:afterAutospacing="1"/>
    </w:pPr>
    <w:rPr>
      <w:rFonts w:ascii="Times New Roman" w:eastAsia="Times New Roman" w:hAnsi="Times New Roman" w:cs="Times New Roman"/>
      <w:sz w:val="24"/>
      <w:szCs w:val="24"/>
    </w:rPr>
  </w:style>
  <w:style w:type="paragraph" w:customStyle="1" w:styleId="xl67">
    <w:name w:val="xl67"/>
    <w:basedOn w:val="Normal"/>
    <w:rsid w:val="008805BD"/>
    <w:pPr>
      <w:spacing w:before="100" w:beforeAutospacing="1" w:after="100" w:afterAutospacing="1"/>
    </w:pPr>
    <w:rPr>
      <w:rFonts w:ascii="Times New Roman" w:eastAsia="Times New Roman" w:hAnsi="Times New Roman" w:cs="Times New Roman"/>
      <w:b/>
      <w:bCs/>
      <w:sz w:val="24"/>
      <w:szCs w:val="24"/>
    </w:rPr>
  </w:style>
  <w:style w:type="paragraph" w:customStyle="1" w:styleId="xl68">
    <w:name w:val="xl68"/>
    <w:basedOn w:val="Normal"/>
    <w:rsid w:val="008805B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69">
    <w:name w:val="xl69"/>
    <w:basedOn w:val="Normal"/>
    <w:rsid w:val="008805B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xl70">
    <w:name w:val="xl70"/>
    <w:basedOn w:val="Normal"/>
    <w:rsid w:val="008805B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71">
    <w:name w:val="xl71"/>
    <w:basedOn w:val="Normal"/>
    <w:rsid w:val="008805B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8805B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73">
    <w:name w:val="xl73"/>
    <w:basedOn w:val="Normal"/>
    <w:rsid w:val="008805B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74">
    <w:name w:val="xl74"/>
    <w:basedOn w:val="Normal"/>
    <w:rsid w:val="008805BD"/>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75">
    <w:name w:val="xl75"/>
    <w:basedOn w:val="Normal"/>
    <w:rsid w:val="008805B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76">
    <w:name w:val="xl76"/>
    <w:basedOn w:val="Normal"/>
    <w:rsid w:val="008805B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77">
    <w:name w:val="xl77"/>
    <w:basedOn w:val="Normal"/>
    <w:rsid w:val="008805B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78">
    <w:name w:val="xl78"/>
    <w:basedOn w:val="Normal"/>
    <w:rsid w:val="008805BD"/>
    <w:pPr>
      <w:pBdr>
        <w:top w:val="single" w:sz="8" w:space="0" w:color="auto"/>
        <w:bottom w:val="single" w:sz="4"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79">
    <w:name w:val="xl79"/>
    <w:basedOn w:val="Normal"/>
    <w:rsid w:val="008805BD"/>
    <w:pPr>
      <w:pBdr>
        <w:top w:val="single" w:sz="4" w:space="0" w:color="auto"/>
        <w:bottom w:val="single" w:sz="4"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80">
    <w:name w:val="xl80"/>
    <w:basedOn w:val="Normal"/>
    <w:rsid w:val="008805BD"/>
    <w:pPr>
      <w:pBdr>
        <w:top w:val="single" w:sz="4"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81">
    <w:name w:val="xl81"/>
    <w:basedOn w:val="Normal"/>
    <w:rsid w:val="008805BD"/>
    <w:pPr>
      <w:pBdr>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82">
    <w:name w:val="xl82"/>
    <w:basedOn w:val="Normal"/>
    <w:rsid w:val="008805BD"/>
    <w:pPr>
      <w:pBdr>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83">
    <w:name w:val="xl83"/>
    <w:basedOn w:val="Normal"/>
    <w:rsid w:val="008805BD"/>
    <w:pPr>
      <w:pBdr>
        <w:left w:val="single" w:sz="8" w:space="0" w:color="auto"/>
        <w:bottom w:val="single" w:sz="4"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84">
    <w:name w:val="xl84"/>
    <w:basedOn w:val="Normal"/>
    <w:rsid w:val="008805BD"/>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85">
    <w:name w:val="xl85"/>
    <w:basedOn w:val="Normal"/>
    <w:rsid w:val="008805BD"/>
    <w:pPr>
      <w:pBdr>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6">
    <w:name w:val="xl86"/>
    <w:basedOn w:val="Normal"/>
    <w:rsid w:val="008805BD"/>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7">
    <w:name w:val="xl87"/>
    <w:basedOn w:val="Normal"/>
    <w:rsid w:val="008805BD"/>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88">
    <w:name w:val="xl88"/>
    <w:basedOn w:val="Normal"/>
    <w:rsid w:val="008805BD"/>
    <w:pPr>
      <w:pBdr>
        <w:left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xl89">
    <w:name w:val="xl89"/>
    <w:basedOn w:val="Normal"/>
    <w:rsid w:val="008805B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xl90">
    <w:name w:val="xl90"/>
    <w:basedOn w:val="Normal"/>
    <w:rsid w:val="008805BD"/>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1">
    <w:name w:val="xl91"/>
    <w:basedOn w:val="Normal"/>
    <w:rsid w:val="008805BD"/>
    <w:pPr>
      <w:pBdr>
        <w:top w:val="single" w:sz="8" w:space="0" w:color="auto"/>
        <w:bottom w:val="single" w:sz="4"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xl92">
    <w:name w:val="xl92"/>
    <w:basedOn w:val="Normal"/>
    <w:rsid w:val="008805BD"/>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93">
    <w:name w:val="xl93"/>
    <w:basedOn w:val="Normal"/>
    <w:rsid w:val="008805BD"/>
    <w:pPr>
      <w:pBdr>
        <w:top w:val="single" w:sz="4"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94">
    <w:name w:val="xl94"/>
    <w:basedOn w:val="Normal"/>
    <w:rsid w:val="008805BD"/>
    <w:pPr>
      <w:pBdr>
        <w:top w:val="single" w:sz="4" w:space="0" w:color="auto"/>
        <w:left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95">
    <w:name w:val="xl95"/>
    <w:basedOn w:val="Normal"/>
    <w:rsid w:val="008805B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xl96">
    <w:name w:val="xl96"/>
    <w:basedOn w:val="Normal"/>
    <w:rsid w:val="008805BD"/>
    <w:pPr>
      <w:pBdr>
        <w:top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97">
    <w:name w:val="xl97"/>
    <w:basedOn w:val="Normal"/>
    <w:rsid w:val="008805BD"/>
    <w:pPr>
      <w:pBdr>
        <w:top w:val="single" w:sz="4"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8">
    <w:name w:val="xl98"/>
    <w:basedOn w:val="Normal"/>
    <w:rsid w:val="008805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99">
    <w:name w:val="xl99"/>
    <w:basedOn w:val="Normal"/>
    <w:rsid w:val="008805BD"/>
    <w:pPr>
      <w:pBdr>
        <w:top w:val="single" w:sz="4"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0">
    <w:name w:val="xl100"/>
    <w:basedOn w:val="Normal"/>
    <w:rsid w:val="008805BD"/>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1">
    <w:name w:val="xl101"/>
    <w:basedOn w:val="Normal"/>
    <w:rsid w:val="008805BD"/>
    <w:pPr>
      <w:pBdr>
        <w:top w:val="single" w:sz="4"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2">
    <w:name w:val="xl102"/>
    <w:basedOn w:val="Normal"/>
    <w:rsid w:val="008805B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3">
    <w:name w:val="xl103"/>
    <w:basedOn w:val="Normal"/>
    <w:rsid w:val="008805BD"/>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04">
    <w:name w:val="xl104"/>
    <w:basedOn w:val="Normal"/>
    <w:rsid w:val="008805BD"/>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5">
    <w:name w:val="xl105"/>
    <w:basedOn w:val="Normal"/>
    <w:rsid w:val="008805BD"/>
    <w:pPr>
      <w:spacing w:before="100" w:beforeAutospacing="1" w:after="100" w:afterAutospacing="1"/>
      <w:jc w:val="center"/>
    </w:pPr>
    <w:rPr>
      <w:rFonts w:ascii="Times New Roman" w:eastAsia="Times New Roman" w:hAnsi="Times New Roman" w:cs="Times New Roman"/>
      <w:sz w:val="24"/>
      <w:szCs w:val="24"/>
    </w:rPr>
  </w:style>
  <w:style w:type="paragraph" w:customStyle="1" w:styleId="xl106">
    <w:name w:val="xl106"/>
    <w:basedOn w:val="Normal"/>
    <w:rsid w:val="008805B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07">
    <w:name w:val="xl107"/>
    <w:basedOn w:val="Normal"/>
    <w:rsid w:val="008805B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08">
    <w:name w:val="xl108"/>
    <w:basedOn w:val="Normal"/>
    <w:rsid w:val="008805BD"/>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09">
    <w:name w:val="xl109"/>
    <w:basedOn w:val="Normal"/>
    <w:rsid w:val="008805BD"/>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0">
    <w:name w:val="xl110"/>
    <w:basedOn w:val="Normal"/>
    <w:rsid w:val="008805BD"/>
    <w:pPr>
      <w:pBdr>
        <w:top w:val="single" w:sz="8" w:space="0" w:color="auto"/>
        <w:left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111">
    <w:name w:val="xl111"/>
    <w:basedOn w:val="Normal"/>
    <w:rsid w:val="008805BD"/>
    <w:pPr>
      <w:pBdr>
        <w:left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12">
    <w:name w:val="xl112"/>
    <w:basedOn w:val="Normal"/>
    <w:rsid w:val="008805BD"/>
    <w:pPr>
      <w:pBdr>
        <w:lef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3">
    <w:name w:val="xl113"/>
    <w:basedOn w:val="Normal"/>
    <w:rsid w:val="008805BD"/>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114">
    <w:name w:val="xl114"/>
    <w:basedOn w:val="Normal"/>
    <w:rsid w:val="008805BD"/>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15">
    <w:name w:val="xl115"/>
    <w:basedOn w:val="Normal"/>
    <w:rsid w:val="008805BD"/>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16">
    <w:name w:val="xl116"/>
    <w:basedOn w:val="Normal"/>
    <w:rsid w:val="008805BD"/>
    <w:pPr>
      <w:pBdr>
        <w:left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17">
    <w:name w:val="xl117"/>
    <w:basedOn w:val="Normal"/>
    <w:rsid w:val="008805BD"/>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18">
    <w:name w:val="xl118"/>
    <w:basedOn w:val="Normal"/>
    <w:rsid w:val="008805BD"/>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19">
    <w:name w:val="xl119"/>
    <w:basedOn w:val="Normal"/>
    <w:rsid w:val="008805BD"/>
    <w:pPr>
      <w:pBdr>
        <w:bottom w:val="single" w:sz="4"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120">
    <w:name w:val="xl120"/>
    <w:basedOn w:val="Normal"/>
    <w:rsid w:val="008805BD"/>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21">
    <w:name w:val="xl121"/>
    <w:basedOn w:val="Normal"/>
    <w:rsid w:val="008805BD"/>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22">
    <w:name w:val="xl122"/>
    <w:basedOn w:val="Normal"/>
    <w:rsid w:val="008805BD"/>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23">
    <w:name w:val="xl123"/>
    <w:basedOn w:val="Normal"/>
    <w:rsid w:val="008805BD"/>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24">
    <w:name w:val="xl124"/>
    <w:basedOn w:val="Normal"/>
    <w:rsid w:val="008805BD"/>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25">
    <w:name w:val="xl125"/>
    <w:basedOn w:val="Normal"/>
    <w:rsid w:val="008805BD"/>
    <w:pPr>
      <w:pBdr>
        <w:left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126">
    <w:name w:val="xl126"/>
    <w:basedOn w:val="Normal"/>
    <w:rsid w:val="008805BD"/>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127">
    <w:name w:val="xl127"/>
    <w:basedOn w:val="Normal"/>
    <w:rsid w:val="008805BD"/>
    <w:pPr>
      <w:pBdr>
        <w:top w:val="single" w:sz="8" w:space="0" w:color="auto"/>
        <w:left w:val="single" w:sz="8"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128">
    <w:name w:val="xl128"/>
    <w:basedOn w:val="Normal"/>
    <w:rsid w:val="008805BD"/>
    <w:pPr>
      <w:pBdr>
        <w:top w:val="single" w:sz="4"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129">
    <w:name w:val="xl129"/>
    <w:basedOn w:val="Normal"/>
    <w:rsid w:val="008805BD"/>
    <w:pPr>
      <w:pBdr>
        <w:top w:val="single" w:sz="4" w:space="0" w:color="auto"/>
        <w:left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130">
    <w:name w:val="xl130"/>
    <w:basedOn w:val="Normal"/>
    <w:rsid w:val="008805BD"/>
    <w:pPr>
      <w:pBdr>
        <w:top w:val="single" w:sz="8"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131">
    <w:name w:val="xl131"/>
    <w:basedOn w:val="Normal"/>
    <w:rsid w:val="008805B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2">
    <w:name w:val="xl132"/>
    <w:basedOn w:val="Normal"/>
    <w:rsid w:val="008805BD"/>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133">
    <w:name w:val="xl133"/>
    <w:basedOn w:val="Normal"/>
    <w:rsid w:val="008805BD"/>
    <w:pPr>
      <w:pBdr>
        <w:top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4">
    <w:name w:val="xl134"/>
    <w:basedOn w:val="Normal"/>
    <w:rsid w:val="008805B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35">
    <w:name w:val="xl135"/>
    <w:basedOn w:val="Normal"/>
    <w:rsid w:val="008805BD"/>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36">
    <w:name w:val="xl136"/>
    <w:basedOn w:val="Normal"/>
    <w:rsid w:val="008805B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37">
    <w:name w:val="xl137"/>
    <w:basedOn w:val="Normal"/>
    <w:rsid w:val="008805B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38">
    <w:name w:val="xl138"/>
    <w:basedOn w:val="Normal"/>
    <w:rsid w:val="008805BD"/>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39">
    <w:name w:val="xl139"/>
    <w:basedOn w:val="Normal"/>
    <w:rsid w:val="008805B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40">
    <w:name w:val="xl140"/>
    <w:basedOn w:val="Normal"/>
    <w:rsid w:val="008805BD"/>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141">
    <w:name w:val="xl141"/>
    <w:basedOn w:val="Normal"/>
    <w:rsid w:val="008805BD"/>
    <w:pPr>
      <w:pBdr>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rPr>
  </w:style>
  <w:style w:type="character" w:customStyle="1" w:styleId="fontstyle15">
    <w:name w:val="fontstyle15"/>
    <w:rsid w:val="00193D00"/>
    <w:rPr>
      <w:rFonts w:ascii="Times New Roman" w:hAnsi="Times New Roman" w:cs="Times New Roman" w:hint="default"/>
    </w:rPr>
  </w:style>
  <w:style w:type="character" w:customStyle="1" w:styleId="inputvalue">
    <w:name w:val="input_value"/>
    <w:rsid w:val="000A3863"/>
  </w:style>
  <w:style w:type="character" w:styleId="Hyperlink">
    <w:name w:val="Hyperlink"/>
    <w:basedOn w:val="DefaultParagraphFont"/>
    <w:uiPriority w:val="99"/>
    <w:semiHidden/>
    <w:unhideWhenUsed/>
    <w:rsid w:val="009643CA"/>
    <w:rPr>
      <w:color w:val="0000FF"/>
      <w:u w:val="single"/>
    </w:rPr>
  </w:style>
  <w:style w:type="character" w:styleId="FollowedHyperlink">
    <w:name w:val="FollowedHyperlink"/>
    <w:basedOn w:val="DefaultParagraphFont"/>
    <w:uiPriority w:val="99"/>
    <w:semiHidden/>
    <w:unhideWhenUsed/>
    <w:rsid w:val="009643CA"/>
    <w:rPr>
      <w:color w:val="800080"/>
      <w:u w:val="single"/>
    </w:rPr>
  </w:style>
  <w:style w:type="paragraph" w:customStyle="1" w:styleId="xl63">
    <w:name w:val="xl63"/>
    <w:basedOn w:val="Normal"/>
    <w:rsid w:val="009643CA"/>
    <w:pPr>
      <w:spacing w:before="100" w:beforeAutospacing="1" w:after="100" w:afterAutospacing="1"/>
      <w:jc w:val="center"/>
    </w:pPr>
    <w:rPr>
      <w:rFonts w:ascii="Times New Roman" w:eastAsia="Times New Roman" w:hAnsi="Times New Roman" w:cs="Times New Roman"/>
      <w:sz w:val="24"/>
      <w:szCs w:val="24"/>
    </w:rPr>
  </w:style>
  <w:style w:type="paragraph" w:customStyle="1" w:styleId="xl64">
    <w:name w:val="xl64"/>
    <w:basedOn w:val="Normal"/>
    <w:rsid w:val="009643CA"/>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AF4449"/>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5955">
      <w:bodyDiv w:val="1"/>
      <w:marLeft w:val="0"/>
      <w:marRight w:val="0"/>
      <w:marTop w:val="0"/>
      <w:marBottom w:val="0"/>
      <w:divBdr>
        <w:top w:val="none" w:sz="0" w:space="0" w:color="auto"/>
        <w:left w:val="none" w:sz="0" w:space="0" w:color="auto"/>
        <w:bottom w:val="none" w:sz="0" w:space="0" w:color="auto"/>
        <w:right w:val="none" w:sz="0" w:space="0" w:color="auto"/>
      </w:divBdr>
    </w:div>
    <w:div w:id="204367160">
      <w:bodyDiv w:val="1"/>
      <w:marLeft w:val="0"/>
      <w:marRight w:val="0"/>
      <w:marTop w:val="0"/>
      <w:marBottom w:val="0"/>
      <w:divBdr>
        <w:top w:val="none" w:sz="0" w:space="0" w:color="auto"/>
        <w:left w:val="none" w:sz="0" w:space="0" w:color="auto"/>
        <w:bottom w:val="none" w:sz="0" w:space="0" w:color="auto"/>
        <w:right w:val="none" w:sz="0" w:space="0" w:color="auto"/>
      </w:divBdr>
    </w:div>
    <w:div w:id="254362895">
      <w:bodyDiv w:val="1"/>
      <w:marLeft w:val="0"/>
      <w:marRight w:val="0"/>
      <w:marTop w:val="0"/>
      <w:marBottom w:val="0"/>
      <w:divBdr>
        <w:top w:val="none" w:sz="0" w:space="0" w:color="auto"/>
        <w:left w:val="none" w:sz="0" w:space="0" w:color="auto"/>
        <w:bottom w:val="none" w:sz="0" w:space="0" w:color="auto"/>
        <w:right w:val="none" w:sz="0" w:space="0" w:color="auto"/>
      </w:divBdr>
    </w:div>
    <w:div w:id="265891309">
      <w:bodyDiv w:val="1"/>
      <w:marLeft w:val="0"/>
      <w:marRight w:val="0"/>
      <w:marTop w:val="0"/>
      <w:marBottom w:val="0"/>
      <w:divBdr>
        <w:top w:val="none" w:sz="0" w:space="0" w:color="auto"/>
        <w:left w:val="none" w:sz="0" w:space="0" w:color="auto"/>
        <w:bottom w:val="none" w:sz="0" w:space="0" w:color="auto"/>
        <w:right w:val="none" w:sz="0" w:space="0" w:color="auto"/>
      </w:divBdr>
    </w:div>
    <w:div w:id="800460633">
      <w:bodyDiv w:val="1"/>
      <w:marLeft w:val="0"/>
      <w:marRight w:val="0"/>
      <w:marTop w:val="0"/>
      <w:marBottom w:val="0"/>
      <w:divBdr>
        <w:top w:val="none" w:sz="0" w:space="0" w:color="auto"/>
        <w:left w:val="none" w:sz="0" w:space="0" w:color="auto"/>
        <w:bottom w:val="none" w:sz="0" w:space="0" w:color="auto"/>
        <w:right w:val="none" w:sz="0" w:space="0" w:color="auto"/>
      </w:divBdr>
    </w:div>
    <w:div w:id="839854934">
      <w:bodyDiv w:val="1"/>
      <w:marLeft w:val="0"/>
      <w:marRight w:val="0"/>
      <w:marTop w:val="0"/>
      <w:marBottom w:val="0"/>
      <w:divBdr>
        <w:top w:val="none" w:sz="0" w:space="0" w:color="auto"/>
        <w:left w:val="none" w:sz="0" w:space="0" w:color="auto"/>
        <w:bottom w:val="none" w:sz="0" w:space="0" w:color="auto"/>
        <w:right w:val="none" w:sz="0" w:space="0" w:color="auto"/>
      </w:divBdr>
    </w:div>
    <w:div w:id="917056485">
      <w:bodyDiv w:val="1"/>
      <w:marLeft w:val="0"/>
      <w:marRight w:val="0"/>
      <w:marTop w:val="0"/>
      <w:marBottom w:val="0"/>
      <w:divBdr>
        <w:top w:val="none" w:sz="0" w:space="0" w:color="auto"/>
        <w:left w:val="none" w:sz="0" w:space="0" w:color="auto"/>
        <w:bottom w:val="none" w:sz="0" w:space="0" w:color="auto"/>
        <w:right w:val="none" w:sz="0" w:space="0" w:color="auto"/>
      </w:divBdr>
    </w:div>
    <w:div w:id="951939640">
      <w:bodyDiv w:val="1"/>
      <w:marLeft w:val="0"/>
      <w:marRight w:val="0"/>
      <w:marTop w:val="0"/>
      <w:marBottom w:val="0"/>
      <w:divBdr>
        <w:top w:val="none" w:sz="0" w:space="0" w:color="auto"/>
        <w:left w:val="none" w:sz="0" w:space="0" w:color="auto"/>
        <w:bottom w:val="none" w:sz="0" w:space="0" w:color="auto"/>
        <w:right w:val="none" w:sz="0" w:space="0" w:color="auto"/>
      </w:divBdr>
    </w:div>
    <w:div w:id="1607342659">
      <w:bodyDiv w:val="1"/>
      <w:marLeft w:val="0"/>
      <w:marRight w:val="0"/>
      <w:marTop w:val="0"/>
      <w:marBottom w:val="0"/>
      <w:divBdr>
        <w:top w:val="none" w:sz="0" w:space="0" w:color="auto"/>
        <w:left w:val="none" w:sz="0" w:space="0" w:color="auto"/>
        <w:bottom w:val="none" w:sz="0" w:space="0" w:color="auto"/>
        <w:right w:val="none" w:sz="0" w:space="0" w:color="auto"/>
      </w:divBdr>
    </w:div>
    <w:div w:id="1843886690">
      <w:bodyDiv w:val="1"/>
      <w:marLeft w:val="0"/>
      <w:marRight w:val="0"/>
      <w:marTop w:val="0"/>
      <w:marBottom w:val="0"/>
      <w:divBdr>
        <w:top w:val="none" w:sz="0" w:space="0" w:color="auto"/>
        <w:left w:val="none" w:sz="0" w:space="0" w:color="auto"/>
        <w:bottom w:val="none" w:sz="0" w:space="0" w:color="auto"/>
        <w:right w:val="none" w:sz="0" w:space="0" w:color="auto"/>
      </w:divBdr>
      <w:divsChild>
        <w:div w:id="1844860363">
          <w:marLeft w:val="0"/>
          <w:marRight w:val="0"/>
          <w:marTop w:val="0"/>
          <w:marBottom w:val="0"/>
          <w:divBdr>
            <w:top w:val="none" w:sz="0" w:space="0" w:color="auto"/>
            <w:left w:val="none" w:sz="0" w:space="0" w:color="auto"/>
            <w:bottom w:val="none" w:sz="0" w:space="0" w:color="auto"/>
            <w:right w:val="none" w:sz="0" w:space="0" w:color="auto"/>
          </w:divBdr>
        </w:div>
        <w:div w:id="1785268997">
          <w:marLeft w:val="0"/>
          <w:marRight w:val="0"/>
          <w:marTop w:val="0"/>
          <w:marBottom w:val="0"/>
          <w:divBdr>
            <w:top w:val="none" w:sz="0" w:space="0" w:color="auto"/>
            <w:left w:val="none" w:sz="0" w:space="0" w:color="auto"/>
            <w:bottom w:val="none" w:sz="0" w:space="0" w:color="auto"/>
            <w:right w:val="none" w:sz="0" w:space="0" w:color="auto"/>
          </w:divBdr>
        </w:div>
        <w:div w:id="980233257">
          <w:marLeft w:val="0"/>
          <w:marRight w:val="0"/>
          <w:marTop w:val="0"/>
          <w:marBottom w:val="0"/>
          <w:divBdr>
            <w:top w:val="none" w:sz="0" w:space="0" w:color="auto"/>
            <w:left w:val="none" w:sz="0" w:space="0" w:color="auto"/>
            <w:bottom w:val="none" w:sz="0" w:space="0" w:color="auto"/>
            <w:right w:val="none" w:sz="0" w:space="0" w:color="auto"/>
          </w:divBdr>
        </w:div>
        <w:div w:id="704216165">
          <w:marLeft w:val="0"/>
          <w:marRight w:val="0"/>
          <w:marTop w:val="0"/>
          <w:marBottom w:val="0"/>
          <w:divBdr>
            <w:top w:val="none" w:sz="0" w:space="0" w:color="auto"/>
            <w:left w:val="none" w:sz="0" w:space="0" w:color="auto"/>
            <w:bottom w:val="none" w:sz="0" w:space="0" w:color="auto"/>
            <w:right w:val="none" w:sz="0" w:space="0" w:color="auto"/>
          </w:divBdr>
        </w:div>
      </w:divsChild>
    </w:div>
    <w:div w:id="1859848358">
      <w:bodyDiv w:val="1"/>
      <w:marLeft w:val="0"/>
      <w:marRight w:val="0"/>
      <w:marTop w:val="0"/>
      <w:marBottom w:val="0"/>
      <w:divBdr>
        <w:top w:val="none" w:sz="0" w:space="0" w:color="auto"/>
        <w:left w:val="none" w:sz="0" w:space="0" w:color="auto"/>
        <w:bottom w:val="none" w:sz="0" w:space="0" w:color="auto"/>
        <w:right w:val="none" w:sz="0" w:space="0" w:color="auto"/>
      </w:divBdr>
    </w:div>
    <w:div w:id="210830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D6330-F838-4A68-829A-BC342E22A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3</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Malina Doncheva</dc:creator>
  <cp:lastModifiedBy>Галина Ганчева</cp:lastModifiedBy>
  <cp:revision>122</cp:revision>
  <cp:lastPrinted>2018-09-27T14:25:00Z</cp:lastPrinted>
  <dcterms:created xsi:type="dcterms:W3CDTF">2017-08-01T15:19:00Z</dcterms:created>
  <dcterms:modified xsi:type="dcterms:W3CDTF">2020-04-21T11:25:00Z</dcterms:modified>
</cp:coreProperties>
</file>